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77" w:rsidRPr="00DD4E77" w:rsidRDefault="00DD4E77" w:rsidP="00DD4E77">
      <w:pPr>
        <w:spacing w:after="0"/>
        <w:jc w:val="center"/>
        <w:rPr>
          <w:rFonts w:ascii="Times New Roman" w:hAnsi="Times New Roman" w:cs="Times New Roman"/>
          <w:sz w:val="24"/>
          <w:szCs w:val="24"/>
        </w:rPr>
      </w:pPr>
      <w:r w:rsidRPr="00DD4E77">
        <w:rPr>
          <w:rFonts w:ascii="Times New Roman" w:hAnsi="Times New Roman" w:cs="Times New Roman"/>
          <w:sz w:val="24"/>
          <w:szCs w:val="24"/>
        </w:rPr>
        <w:t>РОССИЙСКАЯ ФЕДЕРАЦИЯ</w:t>
      </w:r>
    </w:p>
    <w:p w:rsidR="00DD4E77" w:rsidRPr="00DD4E77" w:rsidRDefault="00DD4E77" w:rsidP="00DD4E77">
      <w:pPr>
        <w:spacing w:after="0"/>
        <w:jc w:val="center"/>
        <w:rPr>
          <w:rFonts w:ascii="Times New Roman" w:hAnsi="Times New Roman" w:cs="Times New Roman"/>
          <w:sz w:val="24"/>
          <w:szCs w:val="24"/>
        </w:rPr>
      </w:pPr>
      <w:r w:rsidRPr="00DD4E77">
        <w:rPr>
          <w:rFonts w:ascii="Times New Roman" w:hAnsi="Times New Roman" w:cs="Times New Roman"/>
          <w:sz w:val="24"/>
          <w:szCs w:val="24"/>
        </w:rPr>
        <w:t>ПСКОВКАЯ ОБЛАСТЬ</w:t>
      </w:r>
    </w:p>
    <w:p w:rsidR="00DD4E77" w:rsidRPr="00DD4E77" w:rsidRDefault="00DD4E77" w:rsidP="00DD4E77">
      <w:pPr>
        <w:spacing w:after="0"/>
        <w:jc w:val="center"/>
        <w:rPr>
          <w:rFonts w:ascii="Times New Roman" w:hAnsi="Times New Roman" w:cs="Times New Roman"/>
          <w:sz w:val="24"/>
          <w:szCs w:val="24"/>
        </w:rPr>
      </w:pPr>
      <w:r w:rsidRPr="00DD4E77">
        <w:rPr>
          <w:rFonts w:ascii="Times New Roman" w:hAnsi="Times New Roman" w:cs="Times New Roman"/>
          <w:sz w:val="24"/>
          <w:szCs w:val="24"/>
        </w:rPr>
        <w:t>КОНТРОЛЬНО-СЧЕТНЫЙ ОРГАН</w:t>
      </w:r>
    </w:p>
    <w:p w:rsidR="00DD4E77" w:rsidRPr="00DD4E77" w:rsidRDefault="00DD4E77" w:rsidP="00DD4E77">
      <w:pPr>
        <w:spacing w:after="0"/>
        <w:jc w:val="center"/>
        <w:rPr>
          <w:rFonts w:ascii="Times New Roman" w:hAnsi="Times New Roman" w:cs="Times New Roman"/>
          <w:sz w:val="24"/>
          <w:szCs w:val="24"/>
        </w:rPr>
      </w:pPr>
      <w:r w:rsidRPr="00DD4E77">
        <w:rPr>
          <w:rFonts w:ascii="Times New Roman" w:hAnsi="Times New Roman" w:cs="Times New Roman"/>
          <w:sz w:val="24"/>
          <w:szCs w:val="24"/>
        </w:rPr>
        <w:t>МУНИЦИПАЛЬНОГО ОБРАЗОВАНИЯ « СЕБЕЖСКИЙ РАЙОН»</w:t>
      </w:r>
    </w:p>
    <w:p w:rsidR="00DD4E77" w:rsidRPr="00DD4E77" w:rsidRDefault="00DD4E77" w:rsidP="00DD4E77">
      <w:pPr>
        <w:rPr>
          <w:rFonts w:ascii="Times New Roman" w:hAnsi="Times New Roman" w:cs="Times New Roman"/>
          <w:sz w:val="24"/>
          <w:szCs w:val="24"/>
        </w:rPr>
      </w:pPr>
    </w:p>
    <w:p w:rsidR="00DD4E77" w:rsidRPr="0095173C" w:rsidRDefault="00DD4E77" w:rsidP="0095173C">
      <w:pPr>
        <w:spacing w:after="0" w:line="240" w:lineRule="auto"/>
        <w:ind w:firstLine="709"/>
        <w:jc w:val="center"/>
        <w:rPr>
          <w:rFonts w:ascii="Times New Roman" w:hAnsi="Times New Roman" w:cs="Times New Roman"/>
          <w:sz w:val="24"/>
          <w:szCs w:val="24"/>
        </w:rPr>
      </w:pPr>
      <w:r w:rsidRPr="0095173C">
        <w:rPr>
          <w:rFonts w:ascii="Times New Roman" w:hAnsi="Times New Roman" w:cs="Times New Roman"/>
          <w:sz w:val="24"/>
          <w:szCs w:val="24"/>
        </w:rPr>
        <w:t>Экспертное заключение</w:t>
      </w:r>
    </w:p>
    <w:p w:rsidR="00FF0640" w:rsidRDefault="00DD4E7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 проекту решения «О бюджете муниципального образования  «Идрица</w:t>
      </w:r>
      <w:r w:rsidR="00C034E4" w:rsidRPr="0095173C">
        <w:rPr>
          <w:rFonts w:ascii="Times New Roman" w:hAnsi="Times New Roman" w:cs="Times New Roman"/>
          <w:sz w:val="24"/>
          <w:szCs w:val="24"/>
        </w:rPr>
        <w:t xml:space="preserve">» на 2018 год, </w:t>
      </w:r>
      <w:r w:rsidRPr="0095173C">
        <w:rPr>
          <w:rFonts w:ascii="Times New Roman" w:hAnsi="Times New Roman" w:cs="Times New Roman"/>
          <w:sz w:val="24"/>
          <w:szCs w:val="24"/>
        </w:rPr>
        <w:t>предоставленному Собранию депутатов городского поселения «Идрица»</w:t>
      </w:r>
    </w:p>
    <w:p w:rsidR="0095173C" w:rsidRPr="0095173C" w:rsidRDefault="0095173C" w:rsidP="0095173C">
      <w:pPr>
        <w:spacing w:after="0" w:line="240" w:lineRule="auto"/>
        <w:ind w:firstLine="709"/>
        <w:jc w:val="both"/>
        <w:rPr>
          <w:rFonts w:ascii="Times New Roman" w:hAnsi="Times New Roman" w:cs="Times New Roman"/>
          <w:sz w:val="24"/>
          <w:szCs w:val="24"/>
        </w:rPr>
      </w:pPr>
    </w:p>
    <w:p w:rsidR="00DD4E77" w:rsidRPr="0095173C" w:rsidRDefault="00DD4E7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          Экспертное заключение к проекту решения Собрания депутатов городского поселения «Идрица» «О  бюджете муниципального образования  «Идрица»</w:t>
      </w:r>
      <w:r w:rsidR="00C034E4" w:rsidRPr="0095173C">
        <w:rPr>
          <w:rFonts w:ascii="Times New Roman" w:hAnsi="Times New Roman" w:cs="Times New Roman"/>
          <w:sz w:val="24"/>
          <w:szCs w:val="24"/>
        </w:rPr>
        <w:t xml:space="preserve">» на 2018 год </w:t>
      </w:r>
      <w:r w:rsidRPr="0095173C">
        <w:rPr>
          <w:rFonts w:ascii="Times New Roman" w:hAnsi="Times New Roman" w:cs="Times New Roman"/>
          <w:sz w:val="24"/>
          <w:szCs w:val="24"/>
        </w:rPr>
        <w:t xml:space="preserve"> (далее Проект) подготовлено в соответствии с Бюджетным кодексом Российской Федер</w:t>
      </w:r>
      <w:r w:rsidRPr="0095173C">
        <w:rPr>
          <w:rFonts w:ascii="Times New Roman" w:hAnsi="Times New Roman" w:cs="Times New Roman"/>
          <w:sz w:val="24"/>
          <w:szCs w:val="24"/>
        </w:rPr>
        <w:t>а</w:t>
      </w:r>
      <w:r w:rsidRPr="0095173C">
        <w:rPr>
          <w:rFonts w:ascii="Times New Roman" w:hAnsi="Times New Roman" w:cs="Times New Roman"/>
          <w:sz w:val="24"/>
          <w:szCs w:val="24"/>
        </w:rPr>
        <w:t>ции (далее БК РФ), решением Собрания депутатов Себежского района  от 30</w:t>
      </w:r>
      <w:r w:rsidR="00496214">
        <w:rPr>
          <w:rFonts w:ascii="Times New Roman" w:hAnsi="Times New Roman" w:cs="Times New Roman"/>
          <w:sz w:val="24"/>
          <w:szCs w:val="24"/>
        </w:rPr>
        <w:t xml:space="preserve"> </w:t>
      </w:r>
      <w:r w:rsidRPr="0095173C">
        <w:rPr>
          <w:rFonts w:ascii="Times New Roman" w:hAnsi="Times New Roman" w:cs="Times New Roman"/>
          <w:sz w:val="24"/>
          <w:szCs w:val="24"/>
        </w:rPr>
        <w:t>декабря 2013года №160 «Положение «О бюджетном процессе в муниципальном образовании «С</w:t>
      </w:r>
      <w:r w:rsidRPr="0095173C">
        <w:rPr>
          <w:rFonts w:ascii="Times New Roman" w:hAnsi="Times New Roman" w:cs="Times New Roman"/>
          <w:sz w:val="24"/>
          <w:szCs w:val="24"/>
        </w:rPr>
        <w:t>е</w:t>
      </w:r>
      <w:r w:rsidRPr="0095173C">
        <w:rPr>
          <w:rFonts w:ascii="Times New Roman" w:hAnsi="Times New Roman" w:cs="Times New Roman"/>
          <w:sz w:val="24"/>
          <w:szCs w:val="24"/>
        </w:rPr>
        <w:t>бежский район» (с изменениями от 29.11.2016) (далее Положение о бюджетном процессе)  и «Положением о Контрольно-счетном органе муниципального образования «Себежский район», Соглашением о внешнем бюджетном контроле.</w:t>
      </w:r>
    </w:p>
    <w:p w:rsidR="00DD4E77" w:rsidRPr="0095173C" w:rsidRDefault="00DD4E7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Проект решения представлен на рассмотрение Собрания депутатов городского п</w:t>
      </w:r>
      <w:r w:rsidRPr="0095173C">
        <w:rPr>
          <w:rFonts w:ascii="Times New Roman" w:hAnsi="Times New Roman" w:cs="Times New Roman"/>
          <w:sz w:val="24"/>
          <w:szCs w:val="24"/>
        </w:rPr>
        <w:t>о</w:t>
      </w:r>
      <w:r w:rsidRPr="0095173C">
        <w:rPr>
          <w:rFonts w:ascii="Times New Roman" w:hAnsi="Times New Roman" w:cs="Times New Roman"/>
          <w:sz w:val="24"/>
          <w:szCs w:val="24"/>
        </w:rPr>
        <w:t>селения «Идрица» в соответствии со ст.25 Положения о бюджетном процессе в Себе</w:t>
      </w:r>
      <w:r w:rsidRPr="0095173C">
        <w:rPr>
          <w:rFonts w:ascii="Times New Roman" w:hAnsi="Times New Roman" w:cs="Times New Roman"/>
          <w:sz w:val="24"/>
          <w:szCs w:val="24"/>
        </w:rPr>
        <w:t>ж</w:t>
      </w:r>
      <w:r w:rsidRPr="0095173C">
        <w:rPr>
          <w:rFonts w:ascii="Times New Roman" w:hAnsi="Times New Roman" w:cs="Times New Roman"/>
          <w:sz w:val="24"/>
          <w:szCs w:val="24"/>
        </w:rPr>
        <w:t>ском районе.</w:t>
      </w:r>
    </w:p>
    <w:p w:rsidR="00DC677C" w:rsidRPr="0095173C" w:rsidRDefault="00DC677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Перечень документов</w:t>
      </w:r>
      <w:r w:rsidR="00C034E4" w:rsidRPr="0095173C">
        <w:rPr>
          <w:rFonts w:ascii="Times New Roman" w:hAnsi="Times New Roman" w:cs="Times New Roman"/>
          <w:sz w:val="24"/>
          <w:szCs w:val="24"/>
        </w:rPr>
        <w:t>,</w:t>
      </w:r>
      <w:r w:rsidRPr="0095173C">
        <w:rPr>
          <w:rFonts w:ascii="Times New Roman" w:hAnsi="Times New Roman" w:cs="Times New Roman"/>
          <w:sz w:val="24"/>
          <w:szCs w:val="24"/>
        </w:rPr>
        <w:t xml:space="preserve"> представленных одновременно с проектом решения, не пр</w:t>
      </w:r>
      <w:r w:rsidRPr="0095173C">
        <w:rPr>
          <w:rFonts w:ascii="Times New Roman" w:hAnsi="Times New Roman" w:cs="Times New Roman"/>
          <w:sz w:val="24"/>
          <w:szCs w:val="24"/>
        </w:rPr>
        <w:t>о</w:t>
      </w:r>
      <w:r w:rsidRPr="0095173C">
        <w:rPr>
          <w:rFonts w:ascii="Times New Roman" w:hAnsi="Times New Roman" w:cs="Times New Roman"/>
          <w:sz w:val="24"/>
          <w:szCs w:val="24"/>
        </w:rPr>
        <w:t>тиворечит части 2 статьи 172 БК РФ.</w:t>
      </w:r>
    </w:p>
    <w:p w:rsidR="00F06249" w:rsidRDefault="00C034E4"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Городским поселением «Идрица»  формируется среднесрочный финансовый план муниципального образования на предстоящий период</w:t>
      </w:r>
      <w:r w:rsidR="0095173C" w:rsidRPr="0095173C">
        <w:rPr>
          <w:rFonts w:ascii="Times New Roman" w:hAnsi="Times New Roman" w:cs="Times New Roman"/>
          <w:sz w:val="24"/>
          <w:szCs w:val="24"/>
        </w:rPr>
        <w:t>, не противоречит</w:t>
      </w:r>
      <w:r w:rsidRPr="0095173C">
        <w:rPr>
          <w:rFonts w:ascii="Times New Roman" w:hAnsi="Times New Roman" w:cs="Times New Roman"/>
          <w:sz w:val="24"/>
          <w:szCs w:val="24"/>
        </w:rPr>
        <w:t xml:space="preserve"> ст.174 БК РФ.</w:t>
      </w:r>
      <w:r w:rsidR="0095173C" w:rsidRPr="0095173C">
        <w:rPr>
          <w:rFonts w:ascii="Times New Roman" w:hAnsi="Times New Roman" w:cs="Times New Roman"/>
          <w:sz w:val="24"/>
          <w:szCs w:val="24"/>
        </w:rPr>
        <w:t xml:space="preserve"> </w:t>
      </w:r>
    </w:p>
    <w:p w:rsidR="00DC677C" w:rsidRPr="0095173C" w:rsidRDefault="00DC677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Целью подготовки настоящего заключения является определение достоверности и обоснованности показателей формирования проекта решения о бюджете на очередной финансовый год и плановый период.</w:t>
      </w:r>
    </w:p>
    <w:p w:rsidR="00C67917" w:rsidRPr="0095173C" w:rsidRDefault="00C6791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Основной базовой информацией для формирования проекта бюджета на очередной финансовый год и плановый период являются основные направления бюджетной полит</w:t>
      </w:r>
      <w:r w:rsidRPr="0095173C">
        <w:rPr>
          <w:rFonts w:ascii="Times New Roman" w:hAnsi="Times New Roman" w:cs="Times New Roman"/>
          <w:sz w:val="24"/>
          <w:szCs w:val="24"/>
        </w:rPr>
        <w:t>и</w:t>
      </w:r>
      <w:r w:rsidRPr="0095173C">
        <w:rPr>
          <w:rFonts w:ascii="Times New Roman" w:hAnsi="Times New Roman" w:cs="Times New Roman"/>
          <w:sz w:val="24"/>
          <w:szCs w:val="24"/>
        </w:rPr>
        <w:t>ки муниципального образования «Себежский район» на 2018 год и плановый период 2019 и 2020 годов и основные направления налоговой политики на 2018 год и плановый период  2019 и 20120 годов. Целью основных направлений бюджетной политики является опред</w:t>
      </w:r>
      <w:r w:rsidRPr="0095173C">
        <w:rPr>
          <w:rFonts w:ascii="Times New Roman" w:hAnsi="Times New Roman" w:cs="Times New Roman"/>
          <w:sz w:val="24"/>
          <w:szCs w:val="24"/>
        </w:rPr>
        <w:t>е</w:t>
      </w:r>
      <w:r w:rsidRPr="0095173C">
        <w:rPr>
          <w:rFonts w:ascii="Times New Roman" w:hAnsi="Times New Roman" w:cs="Times New Roman"/>
          <w:sz w:val="24"/>
          <w:szCs w:val="24"/>
        </w:rPr>
        <w:t>ление условий, принимаемых для составления проекта бюджета муниципального образ</w:t>
      </w:r>
      <w:r w:rsidRPr="0095173C">
        <w:rPr>
          <w:rFonts w:ascii="Times New Roman" w:hAnsi="Times New Roman" w:cs="Times New Roman"/>
          <w:sz w:val="24"/>
          <w:szCs w:val="24"/>
        </w:rPr>
        <w:t>о</w:t>
      </w:r>
      <w:r w:rsidRPr="0095173C">
        <w:rPr>
          <w:rFonts w:ascii="Times New Roman" w:hAnsi="Times New Roman" w:cs="Times New Roman"/>
          <w:sz w:val="24"/>
          <w:szCs w:val="24"/>
        </w:rPr>
        <w:t>вания «Себежский район», подходов к его формированию, исполнению основных хара</w:t>
      </w:r>
      <w:r w:rsidRPr="0095173C">
        <w:rPr>
          <w:rFonts w:ascii="Times New Roman" w:hAnsi="Times New Roman" w:cs="Times New Roman"/>
          <w:sz w:val="24"/>
          <w:szCs w:val="24"/>
        </w:rPr>
        <w:t>к</w:t>
      </w:r>
      <w:r w:rsidRPr="0095173C">
        <w:rPr>
          <w:rFonts w:ascii="Times New Roman" w:hAnsi="Times New Roman" w:cs="Times New Roman"/>
          <w:sz w:val="24"/>
          <w:szCs w:val="24"/>
        </w:rPr>
        <w:t>теристик и прогнозируемых параметров.</w:t>
      </w:r>
    </w:p>
    <w:p w:rsidR="00C67917" w:rsidRPr="0095173C" w:rsidRDefault="00C6791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Основные направления бюджетной политики </w:t>
      </w:r>
      <w:r w:rsidR="00995020" w:rsidRPr="0095173C">
        <w:rPr>
          <w:rFonts w:ascii="Times New Roman" w:hAnsi="Times New Roman" w:cs="Times New Roman"/>
          <w:sz w:val="24"/>
          <w:szCs w:val="24"/>
        </w:rPr>
        <w:t>поселения</w:t>
      </w:r>
      <w:r w:rsidRPr="0095173C">
        <w:rPr>
          <w:rFonts w:ascii="Times New Roman" w:hAnsi="Times New Roman" w:cs="Times New Roman"/>
          <w:sz w:val="24"/>
          <w:szCs w:val="24"/>
        </w:rPr>
        <w:t xml:space="preserve"> согласуются с основными направлениями бюджетной политики Российской Федерации на 2018 год и плановый п</w:t>
      </w:r>
      <w:r w:rsidRPr="0095173C">
        <w:rPr>
          <w:rFonts w:ascii="Times New Roman" w:hAnsi="Times New Roman" w:cs="Times New Roman"/>
          <w:sz w:val="24"/>
          <w:szCs w:val="24"/>
        </w:rPr>
        <w:t>е</w:t>
      </w:r>
      <w:r w:rsidRPr="0095173C">
        <w:rPr>
          <w:rFonts w:ascii="Times New Roman" w:hAnsi="Times New Roman" w:cs="Times New Roman"/>
          <w:sz w:val="24"/>
          <w:szCs w:val="24"/>
        </w:rPr>
        <w:t>риод  2019 и 2020 годов</w:t>
      </w:r>
      <w:r w:rsidR="002C2A4C" w:rsidRPr="0095173C">
        <w:rPr>
          <w:rFonts w:ascii="Times New Roman" w:hAnsi="Times New Roman" w:cs="Times New Roman"/>
          <w:sz w:val="24"/>
          <w:szCs w:val="24"/>
        </w:rPr>
        <w:t>,</w:t>
      </w:r>
      <w:r w:rsidRPr="0095173C">
        <w:rPr>
          <w:rFonts w:ascii="Times New Roman" w:hAnsi="Times New Roman" w:cs="Times New Roman"/>
          <w:sz w:val="24"/>
          <w:szCs w:val="24"/>
        </w:rPr>
        <w:t xml:space="preserve"> основными направлениями бюджетной  политики Псковской о</w:t>
      </w:r>
      <w:r w:rsidRPr="0095173C">
        <w:rPr>
          <w:rFonts w:ascii="Times New Roman" w:hAnsi="Times New Roman" w:cs="Times New Roman"/>
          <w:sz w:val="24"/>
          <w:szCs w:val="24"/>
        </w:rPr>
        <w:t>б</w:t>
      </w:r>
      <w:r w:rsidRPr="0095173C">
        <w:rPr>
          <w:rFonts w:ascii="Times New Roman" w:hAnsi="Times New Roman" w:cs="Times New Roman"/>
          <w:sz w:val="24"/>
          <w:szCs w:val="24"/>
        </w:rPr>
        <w:t>ласти на 2018 год и плановый период 2019 и 2020 годов</w:t>
      </w:r>
      <w:r w:rsidR="002C2A4C" w:rsidRPr="0095173C">
        <w:rPr>
          <w:rFonts w:ascii="Times New Roman" w:hAnsi="Times New Roman" w:cs="Times New Roman"/>
          <w:sz w:val="24"/>
          <w:szCs w:val="24"/>
        </w:rPr>
        <w:t xml:space="preserve"> и основными направлениями бюджетной политики муниципального образования «Себежский район» на 2018 год и плановый период 2019 и 2020 годов.</w:t>
      </w:r>
    </w:p>
    <w:p w:rsidR="00DC677C" w:rsidRPr="0095173C" w:rsidRDefault="00C6791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Проект бюджета составлен с учетом изменений, вносимых в Указания о порядке применения бюджетной классификации Российской Федерации, утвержденных приказом Министерства финансов Российской Федерации от 01.07.2013 №65-н, в части изменения (дополнения) кодов видов доходов бюджетов, применяемых с 1 января 2018 года.</w:t>
      </w:r>
    </w:p>
    <w:p w:rsidR="002C2A4C" w:rsidRPr="0095173C" w:rsidRDefault="00E550A9" w:rsidP="0095173C">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b/>
          <w:i/>
          <w:sz w:val="24"/>
          <w:szCs w:val="24"/>
        </w:rPr>
        <w:t>Основные характеристики бюджета муниципального образования  «Идрица»</w:t>
      </w:r>
    </w:p>
    <w:p w:rsidR="00DD4E77" w:rsidRPr="0095173C" w:rsidRDefault="00E550A9" w:rsidP="0095173C">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b/>
          <w:i/>
          <w:sz w:val="24"/>
          <w:szCs w:val="24"/>
        </w:rPr>
        <w:t xml:space="preserve"> на 2018 год и плановый период 2019 и 2020 годов</w:t>
      </w:r>
    </w:p>
    <w:p w:rsidR="00D06394" w:rsidRPr="0095173C" w:rsidRDefault="00D06394" w:rsidP="0095173C">
      <w:pPr>
        <w:spacing w:after="0" w:line="240" w:lineRule="auto"/>
        <w:ind w:firstLine="709"/>
        <w:jc w:val="both"/>
        <w:rPr>
          <w:rFonts w:ascii="Times New Roman" w:hAnsi="Times New Roman" w:cs="Times New Roman"/>
          <w:sz w:val="24"/>
          <w:szCs w:val="24"/>
        </w:rPr>
      </w:pPr>
    </w:p>
    <w:p w:rsidR="00D06394" w:rsidRPr="0095173C" w:rsidRDefault="00D06394"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lastRenderedPageBreak/>
        <w:t>Предметом рассмотрения проекта решения о бюджете муниципального образов</w:t>
      </w:r>
      <w:r w:rsidRPr="0095173C">
        <w:rPr>
          <w:rFonts w:ascii="Times New Roman" w:hAnsi="Times New Roman" w:cs="Times New Roman"/>
          <w:sz w:val="24"/>
          <w:szCs w:val="24"/>
        </w:rPr>
        <w:t>а</w:t>
      </w:r>
      <w:r w:rsidRPr="0095173C">
        <w:rPr>
          <w:rFonts w:ascii="Times New Roman" w:hAnsi="Times New Roman" w:cs="Times New Roman"/>
          <w:sz w:val="24"/>
          <w:szCs w:val="24"/>
        </w:rPr>
        <w:t>ния «</w:t>
      </w:r>
      <w:r w:rsidR="00411A7D" w:rsidRPr="0095173C">
        <w:rPr>
          <w:rFonts w:ascii="Times New Roman" w:hAnsi="Times New Roman" w:cs="Times New Roman"/>
          <w:sz w:val="24"/>
          <w:szCs w:val="24"/>
        </w:rPr>
        <w:t>Городское поселение «Идрица»</w:t>
      </w:r>
      <w:r w:rsidRPr="0095173C">
        <w:rPr>
          <w:rFonts w:ascii="Times New Roman" w:hAnsi="Times New Roman" w:cs="Times New Roman"/>
          <w:sz w:val="24"/>
          <w:szCs w:val="24"/>
        </w:rPr>
        <w:t xml:space="preserve"> на очередной финансовый год и плановый период являются основные характеристики бюджета, к которым относятся:</w:t>
      </w:r>
    </w:p>
    <w:p w:rsidR="00D06394" w:rsidRPr="0095173C" w:rsidRDefault="00D06394"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-прогнозируемый в очередном финансовом году общий объем доходов с выделен</w:t>
      </w:r>
      <w:r w:rsidRPr="0095173C">
        <w:rPr>
          <w:rFonts w:ascii="Times New Roman" w:hAnsi="Times New Roman" w:cs="Times New Roman"/>
          <w:sz w:val="24"/>
          <w:szCs w:val="24"/>
        </w:rPr>
        <w:t>и</w:t>
      </w:r>
      <w:r w:rsidRPr="0095173C">
        <w:rPr>
          <w:rFonts w:ascii="Times New Roman" w:hAnsi="Times New Roman" w:cs="Times New Roman"/>
          <w:sz w:val="24"/>
          <w:szCs w:val="24"/>
        </w:rPr>
        <w:t>ем налоговых и неналоговых доходов и безвозмездных поступлений;</w:t>
      </w:r>
    </w:p>
    <w:p w:rsidR="00D06394" w:rsidRPr="0095173C" w:rsidRDefault="00D06394"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-общий объем расходов в очередном финансовом году;</w:t>
      </w:r>
    </w:p>
    <w:p w:rsidR="00D06394" w:rsidRPr="0095173C" w:rsidRDefault="00D06394" w:rsidP="0095173C">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sz w:val="24"/>
          <w:szCs w:val="24"/>
        </w:rPr>
        <w:t>-дефицит</w:t>
      </w:r>
      <w:r w:rsidR="00697611">
        <w:rPr>
          <w:rFonts w:ascii="Times New Roman" w:hAnsi="Times New Roman" w:cs="Times New Roman"/>
          <w:sz w:val="24"/>
          <w:szCs w:val="24"/>
        </w:rPr>
        <w:t xml:space="preserve"> </w:t>
      </w:r>
      <w:r w:rsidRPr="0095173C">
        <w:rPr>
          <w:rFonts w:ascii="Times New Roman" w:hAnsi="Times New Roman" w:cs="Times New Roman"/>
          <w:sz w:val="24"/>
          <w:szCs w:val="24"/>
        </w:rPr>
        <w:t>(профицит) бюджета муниципального образования</w:t>
      </w:r>
      <w:r w:rsidRPr="0095173C">
        <w:rPr>
          <w:rFonts w:ascii="Times New Roman" w:hAnsi="Times New Roman" w:cs="Times New Roman"/>
          <w:b/>
          <w:i/>
          <w:sz w:val="24"/>
          <w:szCs w:val="24"/>
        </w:rPr>
        <w:t>.</w:t>
      </w:r>
    </w:p>
    <w:p w:rsidR="00D06394" w:rsidRPr="0095173C" w:rsidRDefault="00D06394" w:rsidP="0095173C">
      <w:pPr>
        <w:spacing w:after="0" w:line="240" w:lineRule="auto"/>
        <w:ind w:firstLine="709"/>
        <w:jc w:val="both"/>
        <w:rPr>
          <w:rFonts w:ascii="Times New Roman" w:hAnsi="Times New Roman" w:cs="Times New Roman"/>
          <w:b/>
          <w:i/>
          <w:sz w:val="24"/>
          <w:szCs w:val="24"/>
        </w:rPr>
      </w:pPr>
    </w:p>
    <w:p w:rsidR="00D06394" w:rsidRPr="0095173C" w:rsidRDefault="00D06394"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Представленный проект бюджета содержит следующие основные параметры:</w:t>
      </w:r>
    </w:p>
    <w:p w:rsidR="00A27348" w:rsidRPr="0095173C" w:rsidRDefault="00697611"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7348" w:rsidRPr="0095173C">
        <w:rPr>
          <w:rFonts w:ascii="Times New Roman" w:hAnsi="Times New Roman" w:cs="Times New Roman"/>
          <w:sz w:val="24"/>
          <w:szCs w:val="24"/>
        </w:rPr>
        <w:t>Таблица 1</w:t>
      </w:r>
    </w:p>
    <w:p w:rsidR="00D06394" w:rsidRPr="0095173C" w:rsidRDefault="00697611"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06394" w:rsidRPr="0095173C">
        <w:rPr>
          <w:rFonts w:ascii="Times New Roman" w:hAnsi="Times New Roman" w:cs="Times New Roman"/>
          <w:sz w:val="24"/>
          <w:szCs w:val="24"/>
        </w:rPr>
        <w:t>(тыс. рублей)</w:t>
      </w:r>
    </w:p>
    <w:tbl>
      <w:tblPr>
        <w:tblStyle w:val="a3"/>
        <w:tblW w:w="0" w:type="auto"/>
        <w:tblLook w:val="04A0"/>
      </w:tblPr>
      <w:tblGrid>
        <w:gridCol w:w="4786"/>
        <w:gridCol w:w="1559"/>
        <w:gridCol w:w="1701"/>
        <w:gridCol w:w="1525"/>
      </w:tblGrid>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b/>
                <w:sz w:val="24"/>
                <w:szCs w:val="24"/>
              </w:rPr>
            </w:pPr>
            <w:r w:rsidRPr="0095173C">
              <w:rPr>
                <w:rFonts w:ascii="Times New Roman" w:hAnsi="Times New Roman" w:cs="Times New Roman"/>
                <w:b/>
                <w:sz w:val="24"/>
                <w:szCs w:val="24"/>
              </w:rPr>
              <w:t>Показатель</w:t>
            </w:r>
          </w:p>
        </w:tc>
        <w:tc>
          <w:tcPr>
            <w:tcW w:w="1559" w:type="dxa"/>
            <w:vAlign w:val="center"/>
          </w:tcPr>
          <w:p w:rsidR="00D06394" w:rsidRPr="0095173C" w:rsidRDefault="00D06394" w:rsidP="00697611">
            <w:pPr>
              <w:rPr>
                <w:rFonts w:ascii="Times New Roman" w:hAnsi="Times New Roman" w:cs="Times New Roman"/>
                <w:b/>
                <w:sz w:val="24"/>
                <w:szCs w:val="24"/>
              </w:rPr>
            </w:pPr>
            <w:r w:rsidRPr="0095173C">
              <w:rPr>
                <w:rFonts w:ascii="Times New Roman" w:hAnsi="Times New Roman" w:cs="Times New Roman"/>
                <w:b/>
                <w:sz w:val="24"/>
                <w:szCs w:val="24"/>
              </w:rPr>
              <w:t>2018 год</w:t>
            </w:r>
          </w:p>
        </w:tc>
        <w:tc>
          <w:tcPr>
            <w:tcW w:w="1701" w:type="dxa"/>
            <w:vAlign w:val="center"/>
          </w:tcPr>
          <w:p w:rsidR="00D06394" w:rsidRPr="0095173C" w:rsidRDefault="00D06394" w:rsidP="00697611">
            <w:pPr>
              <w:rPr>
                <w:rFonts w:ascii="Times New Roman" w:hAnsi="Times New Roman" w:cs="Times New Roman"/>
                <w:b/>
                <w:sz w:val="24"/>
                <w:szCs w:val="24"/>
              </w:rPr>
            </w:pPr>
            <w:r w:rsidRPr="0095173C">
              <w:rPr>
                <w:rFonts w:ascii="Times New Roman" w:hAnsi="Times New Roman" w:cs="Times New Roman"/>
                <w:b/>
                <w:sz w:val="24"/>
                <w:szCs w:val="24"/>
              </w:rPr>
              <w:t>201</w:t>
            </w:r>
            <w:r w:rsidR="00411A7D" w:rsidRPr="0095173C">
              <w:rPr>
                <w:rFonts w:ascii="Times New Roman" w:hAnsi="Times New Roman" w:cs="Times New Roman"/>
                <w:b/>
                <w:sz w:val="24"/>
                <w:szCs w:val="24"/>
              </w:rPr>
              <w:t>7</w:t>
            </w:r>
            <w:r w:rsidRPr="0095173C">
              <w:rPr>
                <w:rFonts w:ascii="Times New Roman" w:hAnsi="Times New Roman" w:cs="Times New Roman"/>
                <w:b/>
                <w:sz w:val="24"/>
                <w:szCs w:val="24"/>
              </w:rPr>
              <w:t xml:space="preserve"> год</w:t>
            </w:r>
          </w:p>
        </w:tc>
        <w:tc>
          <w:tcPr>
            <w:tcW w:w="1525" w:type="dxa"/>
            <w:vAlign w:val="center"/>
          </w:tcPr>
          <w:p w:rsidR="00D06394" w:rsidRPr="0095173C" w:rsidRDefault="00D06394" w:rsidP="00697611">
            <w:pPr>
              <w:rPr>
                <w:rFonts w:ascii="Times New Roman" w:hAnsi="Times New Roman" w:cs="Times New Roman"/>
                <w:b/>
                <w:sz w:val="24"/>
                <w:szCs w:val="24"/>
              </w:rPr>
            </w:pPr>
            <w:r w:rsidRPr="0095173C">
              <w:rPr>
                <w:rFonts w:ascii="Times New Roman" w:hAnsi="Times New Roman" w:cs="Times New Roman"/>
                <w:b/>
                <w:sz w:val="24"/>
                <w:szCs w:val="24"/>
              </w:rPr>
              <w:t>20</w:t>
            </w:r>
            <w:r w:rsidR="00411A7D" w:rsidRPr="0095173C">
              <w:rPr>
                <w:rFonts w:ascii="Times New Roman" w:hAnsi="Times New Roman" w:cs="Times New Roman"/>
                <w:b/>
                <w:sz w:val="24"/>
                <w:szCs w:val="24"/>
              </w:rPr>
              <w:t>18</w:t>
            </w:r>
            <w:r w:rsidRPr="0095173C">
              <w:rPr>
                <w:rFonts w:ascii="Times New Roman" w:hAnsi="Times New Roman" w:cs="Times New Roman"/>
                <w:b/>
                <w:sz w:val="24"/>
                <w:szCs w:val="24"/>
              </w:rPr>
              <w:t>год</w:t>
            </w:r>
            <w:r w:rsidR="00411A7D" w:rsidRPr="0095173C">
              <w:rPr>
                <w:rFonts w:ascii="Times New Roman" w:hAnsi="Times New Roman" w:cs="Times New Roman"/>
                <w:b/>
                <w:sz w:val="24"/>
                <w:szCs w:val="24"/>
              </w:rPr>
              <w:t xml:space="preserve"> в % к 2017году</w:t>
            </w:r>
          </w:p>
        </w:tc>
      </w:tr>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Доходы – всего</w:t>
            </w:r>
          </w:p>
        </w:tc>
        <w:tc>
          <w:tcPr>
            <w:tcW w:w="1559" w:type="dxa"/>
            <w:vAlign w:val="center"/>
          </w:tcPr>
          <w:p w:rsidR="00D06394" w:rsidRPr="0095173C" w:rsidRDefault="00D06394" w:rsidP="00697611">
            <w:pPr>
              <w:rPr>
                <w:rFonts w:ascii="Times New Roman" w:hAnsi="Times New Roman" w:cs="Times New Roman"/>
                <w:sz w:val="24"/>
                <w:szCs w:val="24"/>
              </w:rPr>
            </w:pPr>
            <w:r w:rsidRPr="0095173C">
              <w:rPr>
                <w:rFonts w:ascii="Times New Roman" w:hAnsi="Times New Roman" w:cs="Times New Roman"/>
                <w:sz w:val="24"/>
                <w:szCs w:val="24"/>
              </w:rPr>
              <w:t>9448,7</w:t>
            </w:r>
          </w:p>
        </w:tc>
        <w:tc>
          <w:tcPr>
            <w:tcW w:w="1701" w:type="dxa"/>
            <w:vAlign w:val="center"/>
          </w:tcPr>
          <w:p w:rsidR="00D06394" w:rsidRPr="0095173C" w:rsidRDefault="002721C5"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8984,3</w:t>
            </w:r>
          </w:p>
        </w:tc>
        <w:tc>
          <w:tcPr>
            <w:tcW w:w="1525" w:type="dxa"/>
            <w:vAlign w:val="center"/>
          </w:tcPr>
          <w:p w:rsidR="00D06394" w:rsidRPr="0095173C" w:rsidRDefault="00D40485"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105,1</w:t>
            </w:r>
          </w:p>
        </w:tc>
      </w:tr>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В том числе безвозмездные посту</w:t>
            </w:r>
            <w:r w:rsidRPr="0095173C">
              <w:rPr>
                <w:rFonts w:ascii="Times New Roman" w:hAnsi="Times New Roman" w:cs="Times New Roman"/>
                <w:sz w:val="24"/>
                <w:szCs w:val="24"/>
              </w:rPr>
              <w:t>п</w:t>
            </w:r>
            <w:r w:rsidRPr="0095173C">
              <w:rPr>
                <w:rFonts w:ascii="Times New Roman" w:hAnsi="Times New Roman" w:cs="Times New Roman"/>
                <w:sz w:val="24"/>
                <w:szCs w:val="24"/>
              </w:rPr>
              <w:t>ления</w:t>
            </w:r>
          </w:p>
        </w:tc>
        <w:tc>
          <w:tcPr>
            <w:tcW w:w="1559" w:type="dxa"/>
            <w:vAlign w:val="center"/>
          </w:tcPr>
          <w:p w:rsidR="00D06394" w:rsidRPr="0095173C" w:rsidRDefault="00D06394" w:rsidP="00697611">
            <w:pPr>
              <w:rPr>
                <w:rFonts w:ascii="Times New Roman" w:hAnsi="Times New Roman" w:cs="Times New Roman"/>
                <w:sz w:val="24"/>
                <w:szCs w:val="24"/>
              </w:rPr>
            </w:pPr>
            <w:r w:rsidRPr="0095173C">
              <w:rPr>
                <w:rFonts w:ascii="Times New Roman" w:hAnsi="Times New Roman" w:cs="Times New Roman"/>
                <w:sz w:val="24"/>
                <w:szCs w:val="24"/>
              </w:rPr>
              <w:t>260,7</w:t>
            </w:r>
          </w:p>
        </w:tc>
        <w:tc>
          <w:tcPr>
            <w:tcW w:w="1701" w:type="dxa"/>
            <w:vAlign w:val="center"/>
          </w:tcPr>
          <w:p w:rsidR="00D06394" w:rsidRPr="0095173C" w:rsidRDefault="00697611" w:rsidP="00697611">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B86BB0" w:rsidRPr="0095173C">
              <w:rPr>
                <w:rFonts w:ascii="Times New Roman" w:hAnsi="Times New Roman" w:cs="Times New Roman"/>
                <w:sz w:val="24"/>
                <w:szCs w:val="24"/>
              </w:rPr>
              <w:t>243,3</w:t>
            </w:r>
          </w:p>
        </w:tc>
        <w:tc>
          <w:tcPr>
            <w:tcW w:w="1525"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107,1</w:t>
            </w:r>
          </w:p>
        </w:tc>
      </w:tr>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Расходы</w:t>
            </w:r>
          </w:p>
        </w:tc>
        <w:tc>
          <w:tcPr>
            <w:tcW w:w="1559" w:type="dxa"/>
            <w:vAlign w:val="center"/>
          </w:tcPr>
          <w:p w:rsidR="00D06394" w:rsidRPr="0095173C" w:rsidRDefault="00FF4491" w:rsidP="00697611">
            <w:pPr>
              <w:rPr>
                <w:rFonts w:ascii="Times New Roman" w:hAnsi="Times New Roman" w:cs="Times New Roman"/>
                <w:sz w:val="24"/>
                <w:szCs w:val="24"/>
              </w:rPr>
            </w:pPr>
            <w:r w:rsidRPr="0095173C">
              <w:rPr>
                <w:rFonts w:ascii="Times New Roman" w:hAnsi="Times New Roman" w:cs="Times New Roman"/>
                <w:sz w:val="24"/>
                <w:szCs w:val="24"/>
              </w:rPr>
              <w:t>9448,7</w:t>
            </w:r>
          </w:p>
        </w:tc>
        <w:tc>
          <w:tcPr>
            <w:tcW w:w="1701"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9115,5</w:t>
            </w:r>
          </w:p>
        </w:tc>
        <w:tc>
          <w:tcPr>
            <w:tcW w:w="1525"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103,6</w:t>
            </w:r>
          </w:p>
        </w:tc>
      </w:tr>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Дефицит/ профицит</w:t>
            </w:r>
          </w:p>
        </w:tc>
        <w:tc>
          <w:tcPr>
            <w:tcW w:w="1559" w:type="dxa"/>
            <w:vAlign w:val="center"/>
          </w:tcPr>
          <w:p w:rsidR="00D06394" w:rsidRPr="0095173C" w:rsidRDefault="00FF4491" w:rsidP="00697611">
            <w:pPr>
              <w:rPr>
                <w:rFonts w:ascii="Times New Roman" w:hAnsi="Times New Roman" w:cs="Times New Roman"/>
                <w:sz w:val="24"/>
                <w:szCs w:val="24"/>
              </w:rPr>
            </w:pPr>
            <w:r w:rsidRPr="0095173C">
              <w:rPr>
                <w:rFonts w:ascii="Times New Roman" w:hAnsi="Times New Roman" w:cs="Times New Roman"/>
                <w:sz w:val="24"/>
                <w:szCs w:val="24"/>
              </w:rPr>
              <w:t>0</w:t>
            </w:r>
          </w:p>
        </w:tc>
        <w:tc>
          <w:tcPr>
            <w:tcW w:w="1701"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0</w:t>
            </w:r>
          </w:p>
        </w:tc>
        <w:tc>
          <w:tcPr>
            <w:tcW w:w="1525"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0</w:t>
            </w:r>
          </w:p>
        </w:tc>
      </w:tr>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Резервный фонд</w:t>
            </w:r>
          </w:p>
        </w:tc>
        <w:tc>
          <w:tcPr>
            <w:tcW w:w="1559" w:type="dxa"/>
            <w:vAlign w:val="center"/>
          </w:tcPr>
          <w:p w:rsidR="00D06394" w:rsidRPr="0095173C" w:rsidRDefault="00E36849" w:rsidP="00697611">
            <w:pPr>
              <w:rPr>
                <w:rFonts w:ascii="Times New Roman" w:hAnsi="Times New Roman" w:cs="Times New Roman"/>
                <w:sz w:val="24"/>
                <w:szCs w:val="24"/>
              </w:rPr>
            </w:pPr>
            <w:r w:rsidRPr="0095173C">
              <w:rPr>
                <w:rFonts w:ascii="Times New Roman" w:hAnsi="Times New Roman" w:cs="Times New Roman"/>
                <w:sz w:val="24"/>
                <w:szCs w:val="24"/>
              </w:rPr>
              <w:t>33,0</w:t>
            </w:r>
          </w:p>
        </w:tc>
        <w:tc>
          <w:tcPr>
            <w:tcW w:w="1701"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0</w:t>
            </w:r>
          </w:p>
        </w:tc>
        <w:tc>
          <w:tcPr>
            <w:tcW w:w="1525"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0</w:t>
            </w:r>
          </w:p>
        </w:tc>
      </w:tr>
      <w:tr w:rsidR="00D06394" w:rsidRPr="0095173C" w:rsidTr="00697611">
        <w:tc>
          <w:tcPr>
            <w:tcW w:w="4786" w:type="dxa"/>
            <w:vAlign w:val="center"/>
          </w:tcPr>
          <w:p w:rsidR="00D06394" w:rsidRPr="0095173C" w:rsidRDefault="00D06394"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Предельный объем долга</w:t>
            </w:r>
          </w:p>
        </w:tc>
        <w:tc>
          <w:tcPr>
            <w:tcW w:w="1559" w:type="dxa"/>
            <w:vAlign w:val="center"/>
          </w:tcPr>
          <w:p w:rsidR="00D06394" w:rsidRPr="0095173C" w:rsidRDefault="00E36849" w:rsidP="00697611">
            <w:pPr>
              <w:rPr>
                <w:rFonts w:ascii="Times New Roman" w:hAnsi="Times New Roman" w:cs="Times New Roman"/>
                <w:sz w:val="24"/>
                <w:szCs w:val="24"/>
              </w:rPr>
            </w:pPr>
            <w:r w:rsidRPr="0095173C">
              <w:rPr>
                <w:rFonts w:ascii="Times New Roman" w:hAnsi="Times New Roman" w:cs="Times New Roman"/>
                <w:sz w:val="24"/>
                <w:szCs w:val="24"/>
              </w:rPr>
              <w:t>1000,0</w:t>
            </w:r>
          </w:p>
        </w:tc>
        <w:tc>
          <w:tcPr>
            <w:tcW w:w="1701"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0</w:t>
            </w:r>
          </w:p>
        </w:tc>
        <w:tc>
          <w:tcPr>
            <w:tcW w:w="1525" w:type="dxa"/>
            <w:vAlign w:val="center"/>
          </w:tcPr>
          <w:p w:rsidR="00D06394" w:rsidRPr="0095173C" w:rsidRDefault="00B86BB0" w:rsidP="00697611">
            <w:pPr>
              <w:ind w:firstLine="709"/>
              <w:jc w:val="center"/>
              <w:rPr>
                <w:rFonts w:ascii="Times New Roman" w:hAnsi="Times New Roman" w:cs="Times New Roman"/>
                <w:sz w:val="24"/>
                <w:szCs w:val="24"/>
              </w:rPr>
            </w:pPr>
            <w:r w:rsidRPr="0095173C">
              <w:rPr>
                <w:rFonts w:ascii="Times New Roman" w:hAnsi="Times New Roman" w:cs="Times New Roman"/>
                <w:sz w:val="24"/>
                <w:szCs w:val="24"/>
              </w:rPr>
              <w:t>0</w:t>
            </w:r>
          </w:p>
        </w:tc>
      </w:tr>
    </w:tbl>
    <w:p w:rsidR="00D06394" w:rsidRPr="0095173C" w:rsidRDefault="00D06394" w:rsidP="0095173C">
      <w:pPr>
        <w:spacing w:after="0" w:line="240" w:lineRule="auto"/>
        <w:ind w:firstLine="709"/>
        <w:jc w:val="both"/>
        <w:rPr>
          <w:rFonts w:ascii="Times New Roman" w:hAnsi="Times New Roman" w:cs="Times New Roman"/>
          <w:sz w:val="24"/>
          <w:szCs w:val="24"/>
        </w:rPr>
      </w:pPr>
    </w:p>
    <w:p w:rsidR="00411A7D" w:rsidRPr="0095173C" w:rsidRDefault="00511B15"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представленном проекте бюджета на 2018 год дефицит/профицит бюджета не планируется</w:t>
      </w:r>
      <w:r w:rsidR="00140AED" w:rsidRPr="0095173C">
        <w:rPr>
          <w:rFonts w:ascii="Times New Roman" w:hAnsi="Times New Roman" w:cs="Times New Roman"/>
          <w:sz w:val="24"/>
          <w:szCs w:val="24"/>
        </w:rPr>
        <w:t>.</w:t>
      </w:r>
    </w:p>
    <w:p w:rsidR="00140AED" w:rsidRPr="0095173C" w:rsidRDefault="00140AED"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Муниципальный долг на 2018 год составит 1000,0 тыс. рублей. Предельный объем муниципального долга  не противоречит ст.107 БК РФ.</w:t>
      </w:r>
    </w:p>
    <w:p w:rsidR="00B86BB0" w:rsidRPr="0095173C" w:rsidRDefault="00B86BB0"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Рост планируемых в 2018 году доходов в сравнении с ожидаемыми в 2017 году с</w:t>
      </w:r>
      <w:r w:rsidRPr="0095173C">
        <w:rPr>
          <w:rFonts w:ascii="Times New Roman" w:hAnsi="Times New Roman" w:cs="Times New Roman"/>
          <w:sz w:val="24"/>
          <w:szCs w:val="24"/>
        </w:rPr>
        <w:t>о</w:t>
      </w:r>
      <w:r w:rsidRPr="0095173C">
        <w:rPr>
          <w:rFonts w:ascii="Times New Roman" w:hAnsi="Times New Roman" w:cs="Times New Roman"/>
          <w:sz w:val="24"/>
          <w:szCs w:val="24"/>
        </w:rPr>
        <w:t xml:space="preserve">ставит </w:t>
      </w:r>
      <w:r w:rsidR="00D40485" w:rsidRPr="0095173C">
        <w:rPr>
          <w:rFonts w:ascii="Times New Roman" w:hAnsi="Times New Roman" w:cs="Times New Roman"/>
          <w:sz w:val="24"/>
          <w:szCs w:val="24"/>
        </w:rPr>
        <w:t>5,1</w:t>
      </w:r>
      <w:r w:rsidRPr="0095173C">
        <w:rPr>
          <w:rFonts w:ascii="Times New Roman" w:hAnsi="Times New Roman" w:cs="Times New Roman"/>
          <w:sz w:val="24"/>
          <w:szCs w:val="24"/>
        </w:rPr>
        <w:t>%, рост расходов – 3,6%</w:t>
      </w:r>
    </w:p>
    <w:p w:rsidR="00140AED" w:rsidRPr="0095173C" w:rsidRDefault="00140AED" w:rsidP="0095173C">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b/>
          <w:i/>
          <w:sz w:val="24"/>
          <w:szCs w:val="24"/>
        </w:rPr>
        <w:t>Прогнозируемый общий объем доходов</w:t>
      </w:r>
    </w:p>
    <w:p w:rsidR="00A27348" w:rsidRPr="0095173C" w:rsidRDefault="00A2734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Экспертизе представлены расчеты доходной части бюджета на период 2018-2020 годов</w:t>
      </w:r>
    </w:p>
    <w:p w:rsidR="00140AED" w:rsidRPr="0095173C" w:rsidRDefault="00B64065"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Прогнозируемый объем доходов на 2018 год составляет 9448,7 тыс. рублей</w:t>
      </w:r>
      <w:r w:rsidR="002C4D6A" w:rsidRPr="0095173C">
        <w:rPr>
          <w:rFonts w:ascii="Times New Roman" w:hAnsi="Times New Roman" w:cs="Times New Roman"/>
          <w:sz w:val="24"/>
          <w:szCs w:val="24"/>
        </w:rPr>
        <w:t>,</w:t>
      </w:r>
      <w:r w:rsidRPr="0095173C">
        <w:rPr>
          <w:rFonts w:ascii="Times New Roman" w:hAnsi="Times New Roman" w:cs="Times New Roman"/>
          <w:sz w:val="24"/>
          <w:szCs w:val="24"/>
        </w:rPr>
        <w:t xml:space="preserve"> из них: налоговые и неналоговые доходы 9188,0 тыс. рублей, безвозмездные поступления 260,7 тыс. рублей.</w:t>
      </w:r>
    </w:p>
    <w:p w:rsidR="00A27348" w:rsidRPr="0095173C" w:rsidRDefault="00A2734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На 2019 год – 9911,4 тыс. рублей, из них: налоговые и неналоговые доходы 9749,0 тыс. рублей, безвозмездные поступления 162,4 тыс. рублей.</w:t>
      </w:r>
    </w:p>
    <w:p w:rsidR="00A27348" w:rsidRPr="0095173C" w:rsidRDefault="00A2734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На 2020 год – 10146,1 тыс. рублей, из них: налоговые и неналоговые поступления 9978 тыс. рублей, безвозмездные поступления 168,1 тыс. рублей.</w:t>
      </w:r>
    </w:p>
    <w:p w:rsidR="002C4D6A" w:rsidRPr="0095173C" w:rsidRDefault="002C4D6A"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общем объеме собственных доходов налоговые и неналоговые поступления с</w:t>
      </w:r>
      <w:r w:rsidRPr="0095173C">
        <w:rPr>
          <w:rFonts w:ascii="Times New Roman" w:hAnsi="Times New Roman" w:cs="Times New Roman"/>
          <w:sz w:val="24"/>
          <w:szCs w:val="24"/>
        </w:rPr>
        <w:t>о</w:t>
      </w:r>
      <w:r w:rsidRPr="0095173C">
        <w:rPr>
          <w:rFonts w:ascii="Times New Roman" w:hAnsi="Times New Roman" w:cs="Times New Roman"/>
          <w:sz w:val="24"/>
          <w:szCs w:val="24"/>
        </w:rPr>
        <w:t>ставляют</w:t>
      </w:r>
      <w:r w:rsidR="00A27348" w:rsidRPr="0095173C">
        <w:rPr>
          <w:rFonts w:ascii="Times New Roman" w:hAnsi="Times New Roman" w:cs="Times New Roman"/>
          <w:sz w:val="24"/>
          <w:szCs w:val="24"/>
        </w:rPr>
        <w:t xml:space="preserve"> 97,2%.</w:t>
      </w:r>
    </w:p>
    <w:p w:rsidR="00A27348" w:rsidRPr="0095173C" w:rsidRDefault="00A2734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Структура доходной части бюджета на 2018 год и плановый период 2019 и 2020 годов представлена в таблице 2.</w:t>
      </w:r>
    </w:p>
    <w:p w:rsidR="00A27348" w:rsidRPr="0095173C" w:rsidRDefault="00F06249"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7348" w:rsidRPr="0095173C">
        <w:rPr>
          <w:rFonts w:ascii="Times New Roman" w:hAnsi="Times New Roman" w:cs="Times New Roman"/>
          <w:sz w:val="24"/>
          <w:szCs w:val="24"/>
        </w:rPr>
        <w:t>Таблица 2</w:t>
      </w:r>
    </w:p>
    <w:tbl>
      <w:tblPr>
        <w:tblStyle w:val="a3"/>
        <w:tblW w:w="0" w:type="auto"/>
        <w:tblLook w:val="04A0"/>
      </w:tblPr>
      <w:tblGrid>
        <w:gridCol w:w="1761"/>
        <w:gridCol w:w="971"/>
        <w:gridCol w:w="990"/>
        <w:gridCol w:w="968"/>
        <w:gridCol w:w="990"/>
        <w:gridCol w:w="911"/>
        <w:gridCol w:w="990"/>
        <w:gridCol w:w="1000"/>
        <w:gridCol w:w="990"/>
      </w:tblGrid>
      <w:tr w:rsidR="00C24250" w:rsidRPr="0095173C" w:rsidTr="00437A88">
        <w:trPr>
          <w:trHeight w:val="270"/>
        </w:trPr>
        <w:tc>
          <w:tcPr>
            <w:tcW w:w="0" w:type="auto"/>
            <w:vMerge w:val="restart"/>
            <w:vAlign w:val="center"/>
          </w:tcPr>
          <w:p w:rsidR="00A27348" w:rsidRPr="00697611" w:rsidRDefault="00A27348" w:rsidP="00437A88">
            <w:pPr>
              <w:jc w:val="center"/>
              <w:rPr>
                <w:rFonts w:ascii="Times New Roman" w:hAnsi="Times New Roman" w:cs="Times New Roman"/>
                <w:sz w:val="24"/>
                <w:szCs w:val="24"/>
              </w:rPr>
            </w:pPr>
            <w:r w:rsidRPr="00697611">
              <w:rPr>
                <w:rFonts w:ascii="Times New Roman" w:hAnsi="Times New Roman" w:cs="Times New Roman"/>
                <w:sz w:val="24"/>
                <w:szCs w:val="24"/>
              </w:rPr>
              <w:t>Показатели</w:t>
            </w:r>
          </w:p>
          <w:p w:rsidR="00A27348" w:rsidRPr="00697611" w:rsidRDefault="00A27348" w:rsidP="00437A88">
            <w:pPr>
              <w:ind w:firstLine="709"/>
              <w:jc w:val="center"/>
              <w:rPr>
                <w:rFonts w:ascii="Times New Roman" w:hAnsi="Times New Roman" w:cs="Times New Roman"/>
                <w:sz w:val="24"/>
                <w:szCs w:val="24"/>
              </w:rPr>
            </w:pPr>
          </w:p>
        </w:tc>
        <w:tc>
          <w:tcPr>
            <w:tcW w:w="0" w:type="auto"/>
            <w:gridSpan w:val="2"/>
            <w:vAlign w:val="center"/>
          </w:tcPr>
          <w:p w:rsidR="00A27348" w:rsidRPr="00697611" w:rsidRDefault="00A27348" w:rsidP="00437A88">
            <w:pPr>
              <w:ind w:firstLine="709"/>
              <w:jc w:val="center"/>
              <w:rPr>
                <w:rFonts w:ascii="Times New Roman" w:hAnsi="Times New Roman" w:cs="Times New Roman"/>
                <w:sz w:val="24"/>
                <w:szCs w:val="24"/>
              </w:rPr>
            </w:pPr>
            <w:r w:rsidRPr="00697611">
              <w:rPr>
                <w:rFonts w:ascii="Times New Roman" w:hAnsi="Times New Roman" w:cs="Times New Roman"/>
                <w:sz w:val="24"/>
                <w:szCs w:val="24"/>
              </w:rPr>
              <w:t>2017 год</w:t>
            </w:r>
          </w:p>
        </w:tc>
        <w:tc>
          <w:tcPr>
            <w:tcW w:w="0" w:type="auto"/>
            <w:gridSpan w:val="2"/>
            <w:vAlign w:val="center"/>
          </w:tcPr>
          <w:p w:rsidR="00A27348" w:rsidRPr="00697611" w:rsidRDefault="00A27348" w:rsidP="00437A88">
            <w:pPr>
              <w:ind w:firstLine="709"/>
              <w:jc w:val="center"/>
              <w:rPr>
                <w:rFonts w:ascii="Times New Roman" w:hAnsi="Times New Roman" w:cs="Times New Roman"/>
                <w:sz w:val="24"/>
                <w:szCs w:val="24"/>
              </w:rPr>
            </w:pPr>
            <w:r w:rsidRPr="00697611">
              <w:rPr>
                <w:rFonts w:ascii="Times New Roman" w:hAnsi="Times New Roman" w:cs="Times New Roman"/>
                <w:sz w:val="24"/>
                <w:szCs w:val="24"/>
              </w:rPr>
              <w:t>2018 год</w:t>
            </w:r>
          </w:p>
        </w:tc>
        <w:tc>
          <w:tcPr>
            <w:tcW w:w="0" w:type="auto"/>
            <w:gridSpan w:val="2"/>
            <w:vAlign w:val="center"/>
          </w:tcPr>
          <w:p w:rsidR="00A27348" w:rsidRPr="00697611" w:rsidRDefault="00A27348" w:rsidP="00437A88">
            <w:pPr>
              <w:ind w:firstLine="709"/>
              <w:jc w:val="center"/>
              <w:rPr>
                <w:rFonts w:ascii="Times New Roman" w:hAnsi="Times New Roman" w:cs="Times New Roman"/>
                <w:sz w:val="24"/>
                <w:szCs w:val="24"/>
              </w:rPr>
            </w:pPr>
            <w:r w:rsidRPr="00697611">
              <w:rPr>
                <w:rFonts w:ascii="Times New Roman" w:hAnsi="Times New Roman" w:cs="Times New Roman"/>
                <w:sz w:val="24"/>
                <w:szCs w:val="24"/>
              </w:rPr>
              <w:t>2019 год</w:t>
            </w:r>
          </w:p>
        </w:tc>
        <w:tc>
          <w:tcPr>
            <w:tcW w:w="0" w:type="auto"/>
            <w:gridSpan w:val="2"/>
            <w:vAlign w:val="center"/>
          </w:tcPr>
          <w:p w:rsidR="00A27348" w:rsidRPr="00697611" w:rsidRDefault="00A27348" w:rsidP="00437A88">
            <w:pPr>
              <w:ind w:firstLine="709"/>
              <w:jc w:val="center"/>
              <w:rPr>
                <w:rFonts w:ascii="Times New Roman" w:hAnsi="Times New Roman" w:cs="Times New Roman"/>
                <w:sz w:val="24"/>
                <w:szCs w:val="24"/>
              </w:rPr>
            </w:pPr>
            <w:r w:rsidRPr="00697611">
              <w:rPr>
                <w:rFonts w:ascii="Times New Roman" w:hAnsi="Times New Roman" w:cs="Times New Roman"/>
                <w:sz w:val="24"/>
                <w:szCs w:val="24"/>
              </w:rPr>
              <w:t>2020 год</w:t>
            </w:r>
          </w:p>
        </w:tc>
      </w:tr>
      <w:tr w:rsidR="00C24250" w:rsidRPr="0095173C" w:rsidTr="00437A88">
        <w:trPr>
          <w:trHeight w:val="285"/>
        </w:trPr>
        <w:tc>
          <w:tcPr>
            <w:tcW w:w="0" w:type="auto"/>
            <w:vMerge/>
            <w:vAlign w:val="center"/>
          </w:tcPr>
          <w:p w:rsidR="00A27348" w:rsidRPr="00697611" w:rsidRDefault="00A27348" w:rsidP="00437A88">
            <w:pPr>
              <w:ind w:firstLine="709"/>
              <w:jc w:val="center"/>
              <w:rPr>
                <w:rFonts w:ascii="Times New Roman" w:hAnsi="Times New Roman" w:cs="Times New Roman"/>
                <w:sz w:val="24"/>
                <w:szCs w:val="24"/>
              </w:rPr>
            </w:pPr>
          </w:p>
        </w:tc>
        <w:tc>
          <w:tcPr>
            <w:tcW w:w="0" w:type="auto"/>
            <w:vAlign w:val="center"/>
          </w:tcPr>
          <w:p w:rsidR="00A27348" w:rsidRPr="00697611" w:rsidRDefault="00C24250" w:rsidP="00437A88">
            <w:pPr>
              <w:jc w:val="center"/>
              <w:rPr>
                <w:rFonts w:ascii="Times New Roman" w:hAnsi="Times New Roman" w:cs="Times New Roman"/>
                <w:sz w:val="24"/>
                <w:szCs w:val="24"/>
              </w:rPr>
            </w:pPr>
            <w:r w:rsidRPr="00697611">
              <w:rPr>
                <w:rFonts w:ascii="Times New Roman" w:hAnsi="Times New Roman" w:cs="Times New Roman"/>
                <w:sz w:val="24"/>
                <w:szCs w:val="24"/>
              </w:rPr>
              <w:t>С</w:t>
            </w:r>
            <w:r w:rsidR="00A27348" w:rsidRPr="00697611">
              <w:rPr>
                <w:rFonts w:ascii="Times New Roman" w:hAnsi="Times New Roman" w:cs="Times New Roman"/>
                <w:sz w:val="24"/>
                <w:szCs w:val="24"/>
              </w:rPr>
              <w:t>умма</w:t>
            </w:r>
            <w:r w:rsidRPr="00697611">
              <w:rPr>
                <w:rFonts w:ascii="Times New Roman" w:hAnsi="Times New Roman" w:cs="Times New Roman"/>
                <w:sz w:val="24"/>
                <w:szCs w:val="24"/>
              </w:rPr>
              <w:t>, тыс. руб.</w:t>
            </w:r>
          </w:p>
        </w:tc>
        <w:tc>
          <w:tcPr>
            <w:tcW w:w="0" w:type="auto"/>
            <w:vAlign w:val="center"/>
          </w:tcPr>
          <w:p w:rsidR="00A27348" w:rsidRPr="00697611" w:rsidRDefault="00A27348" w:rsidP="00437A88">
            <w:pPr>
              <w:jc w:val="center"/>
              <w:rPr>
                <w:rFonts w:ascii="Times New Roman" w:hAnsi="Times New Roman" w:cs="Times New Roman"/>
                <w:sz w:val="24"/>
                <w:szCs w:val="24"/>
              </w:rPr>
            </w:pPr>
            <w:r w:rsidRPr="00697611">
              <w:rPr>
                <w:rFonts w:ascii="Times New Roman" w:hAnsi="Times New Roman" w:cs="Times New Roman"/>
                <w:sz w:val="24"/>
                <w:szCs w:val="24"/>
              </w:rPr>
              <w:t>Доля,%</w:t>
            </w:r>
          </w:p>
        </w:tc>
        <w:tc>
          <w:tcPr>
            <w:tcW w:w="0" w:type="auto"/>
            <w:vAlign w:val="center"/>
          </w:tcPr>
          <w:p w:rsidR="00C24250" w:rsidRPr="00697611" w:rsidRDefault="00C24250" w:rsidP="00437A88">
            <w:pPr>
              <w:jc w:val="center"/>
              <w:rPr>
                <w:rFonts w:ascii="Times New Roman" w:hAnsi="Times New Roman" w:cs="Times New Roman"/>
                <w:sz w:val="24"/>
                <w:szCs w:val="24"/>
              </w:rPr>
            </w:pPr>
            <w:r w:rsidRPr="00697611">
              <w:rPr>
                <w:rFonts w:ascii="Times New Roman" w:hAnsi="Times New Roman" w:cs="Times New Roman"/>
                <w:sz w:val="24"/>
                <w:szCs w:val="24"/>
              </w:rPr>
              <w:t>С</w:t>
            </w:r>
            <w:r w:rsidR="00A27348" w:rsidRPr="00697611">
              <w:rPr>
                <w:rFonts w:ascii="Times New Roman" w:hAnsi="Times New Roman" w:cs="Times New Roman"/>
                <w:sz w:val="24"/>
                <w:szCs w:val="24"/>
              </w:rPr>
              <w:t>умма</w:t>
            </w:r>
            <w:r w:rsidRPr="00697611">
              <w:rPr>
                <w:rFonts w:ascii="Times New Roman" w:hAnsi="Times New Roman" w:cs="Times New Roman"/>
                <w:sz w:val="24"/>
                <w:szCs w:val="24"/>
              </w:rPr>
              <w:t>,</w:t>
            </w:r>
          </w:p>
          <w:p w:rsidR="00C24250"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тыс. руб.</w:t>
            </w:r>
          </w:p>
        </w:tc>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Доля,%</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С</w:t>
            </w:r>
            <w:r w:rsidR="00A27348" w:rsidRPr="00697611">
              <w:rPr>
                <w:rFonts w:ascii="Times New Roman" w:hAnsi="Times New Roman" w:cs="Times New Roman"/>
                <w:sz w:val="24"/>
                <w:szCs w:val="24"/>
              </w:rPr>
              <w:t>умма</w:t>
            </w:r>
            <w:r w:rsidRPr="00697611">
              <w:rPr>
                <w:rFonts w:ascii="Times New Roman" w:hAnsi="Times New Roman" w:cs="Times New Roman"/>
                <w:sz w:val="24"/>
                <w:szCs w:val="24"/>
              </w:rPr>
              <w:t xml:space="preserve"> тыс. руб.</w:t>
            </w:r>
          </w:p>
        </w:tc>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Доля,%</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С</w:t>
            </w:r>
            <w:r w:rsidR="00A27348" w:rsidRPr="00697611">
              <w:rPr>
                <w:rFonts w:ascii="Times New Roman" w:hAnsi="Times New Roman" w:cs="Times New Roman"/>
                <w:sz w:val="24"/>
                <w:szCs w:val="24"/>
              </w:rPr>
              <w:t>умма</w:t>
            </w:r>
            <w:r w:rsidRPr="00697611">
              <w:rPr>
                <w:rFonts w:ascii="Times New Roman" w:hAnsi="Times New Roman" w:cs="Times New Roman"/>
                <w:sz w:val="24"/>
                <w:szCs w:val="24"/>
              </w:rPr>
              <w:t xml:space="preserve"> тыс. руб.</w:t>
            </w:r>
          </w:p>
        </w:tc>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Доля,%</w:t>
            </w:r>
          </w:p>
        </w:tc>
      </w:tr>
      <w:tr w:rsidR="00C24250" w:rsidRPr="0095173C" w:rsidTr="00437A88">
        <w:trPr>
          <w:trHeight w:val="327"/>
        </w:trPr>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Налоговые д</w:t>
            </w:r>
            <w:r w:rsidRPr="00697611">
              <w:rPr>
                <w:rFonts w:ascii="Times New Roman" w:hAnsi="Times New Roman" w:cs="Times New Roman"/>
                <w:sz w:val="24"/>
                <w:szCs w:val="24"/>
              </w:rPr>
              <w:t>о</w:t>
            </w:r>
            <w:r w:rsidRPr="00697611">
              <w:rPr>
                <w:rFonts w:ascii="Times New Roman" w:hAnsi="Times New Roman" w:cs="Times New Roman"/>
                <w:sz w:val="24"/>
                <w:szCs w:val="24"/>
              </w:rPr>
              <w:t>ходы</w:t>
            </w:r>
          </w:p>
        </w:tc>
        <w:tc>
          <w:tcPr>
            <w:tcW w:w="0" w:type="auto"/>
            <w:vAlign w:val="center"/>
          </w:tcPr>
          <w:p w:rsidR="00A27348" w:rsidRPr="00697611" w:rsidRDefault="00606B72" w:rsidP="00437A88">
            <w:pPr>
              <w:rPr>
                <w:rFonts w:ascii="Times New Roman" w:hAnsi="Times New Roman" w:cs="Times New Roman"/>
                <w:sz w:val="24"/>
                <w:szCs w:val="24"/>
              </w:rPr>
            </w:pPr>
            <w:r w:rsidRPr="00697611">
              <w:rPr>
                <w:rFonts w:ascii="Times New Roman" w:hAnsi="Times New Roman" w:cs="Times New Roman"/>
                <w:sz w:val="24"/>
                <w:szCs w:val="24"/>
              </w:rPr>
              <w:t>8490,0</w:t>
            </w:r>
          </w:p>
        </w:tc>
        <w:tc>
          <w:tcPr>
            <w:tcW w:w="0" w:type="auto"/>
            <w:vAlign w:val="center"/>
          </w:tcPr>
          <w:p w:rsidR="00A27348" w:rsidRPr="00697611" w:rsidRDefault="008643C6" w:rsidP="00437A88">
            <w:pPr>
              <w:rPr>
                <w:rFonts w:ascii="Times New Roman" w:hAnsi="Times New Roman" w:cs="Times New Roman"/>
                <w:sz w:val="24"/>
                <w:szCs w:val="24"/>
              </w:rPr>
            </w:pPr>
            <w:r w:rsidRPr="00697611">
              <w:rPr>
                <w:rFonts w:ascii="Times New Roman" w:hAnsi="Times New Roman" w:cs="Times New Roman"/>
                <w:sz w:val="24"/>
                <w:szCs w:val="24"/>
              </w:rPr>
              <w:t>94,5</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9133,0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96,6</w:t>
            </w:r>
          </w:p>
        </w:tc>
        <w:tc>
          <w:tcPr>
            <w:tcW w:w="0" w:type="auto"/>
            <w:vAlign w:val="center"/>
          </w:tcPr>
          <w:p w:rsidR="00A27348" w:rsidRPr="00697611" w:rsidRDefault="00C24250" w:rsidP="00437A88">
            <w:pPr>
              <w:jc w:val="center"/>
              <w:rPr>
                <w:rFonts w:ascii="Times New Roman" w:hAnsi="Times New Roman" w:cs="Times New Roman"/>
                <w:sz w:val="24"/>
                <w:szCs w:val="24"/>
              </w:rPr>
            </w:pPr>
            <w:r w:rsidRPr="00697611">
              <w:rPr>
                <w:rFonts w:ascii="Times New Roman" w:hAnsi="Times New Roman" w:cs="Times New Roman"/>
                <w:sz w:val="24"/>
                <w:szCs w:val="24"/>
              </w:rPr>
              <w:t>9694,0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97,8</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9931,0</w:t>
            </w:r>
          </w:p>
        </w:tc>
        <w:tc>
          <w:tcPr>
            <w:tcW w:w="0" w:type="auto"/>
            <w:vAlign w:val="center"/>
          </w:tcPr>
          <w:p w:rsidR="00A27348" w:rsidRPr="00697611" w:rsidRDefault="00E54A49" w:rsidP="00437A88">
            <w:pPr>
              <w:rPr>
                <w:rFonts w:ascii="Times New Roman" w:hAnsi="Times New Roman" w:cs="Times New Roman"/>
                <w:sz w:val="24"/>
                <w:szCs w:val="24"/>
              </w:rPr>
            </w:pPr>
            <w:r w:rsidRPr="00697611">
              <w:rPr>
                <w:rFonts w:ascii="Times New Roman" w:hAnsi="Times New Roman" w:cs="Times New Roman"/>
                <w:sz w:val="24"/>
                <w:szCs w:val="24"/>
              </w:rPr>
              <w:t>97,9</w:t>
            </w:r>
          </w:p>
        </w:tc>
      </w:tr>
      <w:tr w:rsidR="00C24250" w:rsidRPr="0095173C" w:rsidTr="00437A88">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Неналоговые доходы</w:t>
            </w:r>
          </w:p>
        </w:tc>
        <w:tc>
          <w:tcPr>
            <w:tcW w:w="0" w:type="auto"/>
            <w:vAlign w:val="center"/>
          </w:tcPr>
          <w:p w:rsidR="00A27348" w:rsidRPr="00697611" w:rsidRDefault="008643C6" w:rsidP="00437A88">
            <w:pPr>
              <w:rPr>
                <w:rFonts w:ascii="Times New Roman" w:hAnsi="Times New Roman" w:cs="Times New Roman"/>
                <w:sz w:val="24"/>
                <w:szCs w:val="24"/>
              </w:rPr>
            </w:pPr>
            <w:r w:rsidRPr="00697611">
              <w:rPr>
                <w:rFonts w:ascii="Times New Roman" w:hAnsi="Times New Roman" w:cs="Times New Roman"/>
                <w:sz w:val="24"/>
                <w:szCs w:val="24"/>
              </w:rPr>
              <w:t>251,0</w:t>
            </w:r>
          </w:p>
        </w:tc>
        <w:tc>
          <w:tcPr>
            <w:tcW w:w="0" w:type="auto"/>
            <w:vAlign w:val="center"/>
          </w:tcPr>
          <w:p w:rsidR="00A27348" w:rsidRPr="00697611" w:rsidRDefault="008643C6" w:rsidP="00437A88">
            <w:pPr>
              <w:rPr>
                <w:rFonts w:ascii="Times New Roman" w:hAnsi="Times New Roman" w:cs="Times New Roman"/>
                <w:sz w:val="24"/>
                <w:szCs w:val="24"/>
              </w:rPr>
            </w:pPr>
            <w:r w:rsidRPr="00697611">
              <w:rPr>
                <w:rFonts w:ascii="Times New Roman" w:hAnsi="Times New Roman" w:cs="Times New Roman"/>
                <w:sz w:val="24"/>
                <w:szCs w:val="24"/>
              </w:rPr>
              <w:t>2,8</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55,0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0,6</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55,0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0,6</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47,0</w:t>
            </w:r>
          </w:p>
        </w:tc>
        <w:tc>
          <w:tcPr>
            <w:tcW w:w="0" w:type="auto"/>
            <w:vAlign w:val="center"/>
          </w:tcPr>
          <w:p w:rsidR="00A27348" w:rsidRPr="00697611" w:rsidRDefault="00E54A49" w:rsidP="00437A88">
            <w:pPr>
              <w:rPr>
                <w:rFonts w:ascii="Times New Roman" w:hAnsi="Times New Roman" w:cs="Times New Roman"/>
                <w:sz w:val="24"/>
                <w:szCs w:val="24"/>
              </w:rPr>
            </w:pPr>
            <w:r w:rsidRPr="00697611">
              <w:rPr>
                <w:rFonts w:ascii="Times New Roman" w:hAnsi="Times New Roman" w:cs="Times New Roman"/>
                <w:sz w:val="24"/>
                <w:szCs w:val="24"/>
              </w:rPr>
              <w:t>0,5</w:t>
            </w:r>
          </w:p>
        </w:tc>
      </w:tr>
      <w:tr w:rsidR="00C24250" w:rsidRPr="0095173C" w:rsidTr="00437A88">
        <w:trPr>
          <w:trHeight w:val="659"/>
        </w:trPr>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lastRenderedPageBreak/>
              <w:t>Безвозмездные поступления</w:t>
            </w:r>
          </w:p>
        </w:tc>
        <w:tc>
          <w:tcPr>
            <w:tcW w:w="0" w:type="auto"/>
            <w:vAlign w:val="center"/>
          </w:tcPr>
          <w:p w:rsidR="00A27348" w:rsidRPr="00697611" w:rsidRDefault="008643C6" w:rsidP="00437A88">
            <w:pPr>
              <w:rPr>
                <w:rFonts w:ascii="Times New Roman" w:hAnsi="Times New Roman" w:cs="Times New Roman"/>
                <w:sz w:val="24"/>
                <w:szCs w:val="24"/>
              </w:rPr>
            </w:pPr>
            <w:r w:rsidRPr="00697611">
              <w:rPr>
                <w:rFonts w:ascii="Times New Roman" w:hAnsi="Times New Roman" w:cs="Times New Roman"/>
                <w:sz w:val="24"/>
                <w:szCs w:val="24"/>
              </w:rPr>
              <w:t>243,3</w:t>
            </w:r>
          </w:p>
        </w:tc>
        <w:tc>
          <w:tcPr>
            <w:tcW w:w="0" w:type="auto"/>
            <w:vAlign w:val="center"/>
          </w:tcPr>
          <w:p w:rsidR="00A27348" w:rsidRPr="00697611" w:rsidRDefault="008643C6" w:rsidP="00437A88">
            <w:pPr>
              <w:rPr>
                <w:rFonts w:ascii="Times New Roman" w:hAnsi="Times New Roman" w:cs="Times New Roman"/>
                <w:sz w:val="24"/>
                <w:szCs w:val="24"/>
              </w:rPr>
            </w:pPr>
            <w:r w:rsidRPr="00697611">
              <w:rPr>
                <w:rFonts w:ascii="Times New Roman" w:hAnsi="Times New Roman" w:cs="Times New Roman"/>
                <w:sz w:val="24"/>
                <w:szCs w:val="24"/>
              </w:rPr>
              <w:t>2,7</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260,7</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2,8</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162,4</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1,6</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168,1</w:t>
            </w:r>
          </w:p>
        </w:tc>
        <w:tc>
          <w:tcPr>
            <w:tcW w:w="0" w:type="auto"/>
            <w:vAlign w:val="center"/>
          </w:tcPr>
          <w:p w:rsidR="00A27348" w:rsidRPr="00697611" w:rsidRDefault="00E54A49" w:rsidP="00437A88">
            <w:pPr>
              <w:rPr>
                <w:rFonts w:ascii="Times New Roman" w:hAnsi="Times New Roman" w:cs="Times New Roman"/>
                <w:sz w:val="24"/>
                <w:szCs w:val="24"/>
              </w:rPr>
            </w:pPr>
            <w:r w:rsidRPr="00697611">
              <w:rPr>
                <w:rFonts w:ascii="Times New Roman" w:hAnsi="Times New Roman" w:cs="Times New Roman"/>
                <w:sz w:val="24"/>
                <w:szCs w:val="24"/>
              </w:rPr>
              <w:t>1,6</w:t>
            </w:r>
          </w:p>
        </w:tc>
      </w:tr>
      <w:tr w:rsidR="00C24250" w:rsidRPr="0095173C" w:rsidTr="00437A88">
        <w:tc>
          <w:tcPr>
            <w:tcW w:w="0" w:type="auto"/>
            <w:vAlign w:val="center"/>
          </w:tcPr>
          <w:p w:rsidR="00A27348" w:rsidRPr="00697611" w:rsidRDefault="00A27348" w:rsidP="00437A88">
            <w:pPr>
              <w:ind w:firstLine="709"/>
              <w:jc w:val="center"/>
              <w:rPr>
                <w:rFonts w:ascii="Times New Roman" w:hAnsi="Times New Roman" w:cs="Times New Roman"/>
                <w:sz w:val="24"/>
                <w:szCs w:val="24"/>
              </w:rPr>
            </w:pPr>
            <w:r w:rsidRPr="00697611">
              <w:rPr>
                <w:rFonts w:ascii="Times New Roman" w:hAnsi="Times New Roman" w:cs="Times New Roman"/>
                <w:sz w:val="24"/>
                <w:szCs w:val="24"/>
              </w:rPr>
              <w:t>Итого</w:t>
            </w:r>
          </w:p>
        </w:tc>
        <w:tc>
          <w:tcPr>
            <w:tcW w:w="0" w:type="auto"/>
            <w:vAlign w:val="center"/>
          </w:tcPr>
          <w:p w:rsidR="00A27348" w:rsidRPr="00697611" w:rsidRDefault="00606B72" w:rsidP="00437A88">
            <w:pPr>
              <w:rPr>
                <w:rFonts w:ascii="Times New Roman" w:hAnsi="Times New Roman" w:cs="Times New Roman"/>
                <w:sz w:val="24"/>
                <w:szCs w:val="24"/>
              </w:rPr>
            </w:pPr>
            <w:r w:rsidRPr="00697611">
              <w:rPr>
                <w:rFonts w:ascii="Times New Roman" w:hAnsi="Times New Roman" w:cs="Times New Roman"/>
                <w:sz w:val="24"/>
                <w:szCs w:val="24"/>
              </w:rPr>
              <w:t>8984,3</w:t>
            </w:r>
          </w:p>
        </w:tc>
        <w:tc>
          <w:tcPr>
            <w:tcW w:w="0" w:type="auto"/>
            <w:vAlign w:val="center"/>
          </w:tcPr>
          <w:p w:rsidR="00A27348" w:rsidRPr="00697611" w:rsidRDefault="008643C6" w:rsidP="00437A88">
            <w:pPr>
              <w:rPr>
                <w:rFonts w:ascii="Times New Roman" w:hAnsi="Times New Roman" w:cs="Times New Roman"/>
                <w:sz w:val="24"/>
                <w:szCs w:val="24"/>
              </w:rPr>
            </w:pPr>
            <w:r w:rsidRPr="00697611">
              <w:rPr>
                <w:rFonts w:ascii="Times New Roman" w:hAnsi="Times New Roman" w:cs="Times New Roman"/>
                <w:sz w:val="24"/>
                <w:szCs w:val="24"/>
              </w:rPr>
              <w:t>100,0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9448,7</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100,0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9911,4</w:t>
            </w:r>
          </w:p>
        </w:tc>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100,0</w:t>
            </w:r>
          </w:p>
        </w:tc>
        <w:tc>
          <w:tcPr>
            <w:tcW w:w="0" w:type="auto"/>
            <w:vAlign w:val="center"/>
          </w:tcPr>
          <w:p w:rsidR="00A27348" w:rsidRPr="00697611" w:rsidRDefault="00C24250" w:rsidP="00437A88">
            <w:pPr>
              <w:rPr>
                <w:rFonts w:ascii="Times New Roman" w:hAnsi="Times New Roman" w:cs="Times New Roman"/>
                <w:sz w:val="24"/>
                <w:szCs w:val="24"/>
              </w:rPr>
            </w:pPr>
            <w:r w:rsidRPr="00697611">
              <w:rPr>
                <w:rFonts w:ascii="Times New Roman" w:hAnsi="Times New Roman" w:cs="Times New Roman"/>
                <w:sz w:val="24"/>
                <w:szCs w:val="24"/>
              </w:rPr>
              <w:t>10146,1</w:t>
            </w:r>
          </w:p>
        </w:tc>
        <w:tc>
          <w:tcPr>
            <w:tcW w:w="0" w:type="auto"/>
            <w:vAlign w:val="center"/>
          </w:tcPr>
          <w:p w:rsidR="00A27348" w:rsidRPr="00697611" w:rsidRDefault="00A27348" w:rsidP="00437A88">
            <w:pPr>
              <w:rPr>
                <w:rFonts w:ascii="Times New Roman" w:hAnsi="Times New Roman" w:cs="Times New Roman"/>
                <w:sz w:val="24"/>
                <w:szCs w:val="24"/>
              </w:rPr>
            </w:pPr>
            <w:r w:rsidRPr="00697611">
              <w:rPr>
                <w:rFonts w:ascii="Times New Roman" w:hAnsi="Times New Roman" w:cs="Times New Roman"/>
                <w:sz w:val="24"/>
                <w:szCs w:val="24"/>
              </w:rPr>
              <w:t>100,0</w:t>
            </w:r>
          </w:p>
        </w:tc>
      </w:tr>
    </w:tbl>
    <w:p w:rsidR="00A27348" w:rsidRPr="0095173C" w:rsidRDefault="00A27348" w:rsidP="0095173C">
      <w:pPr>
        <w:spacing w:after="0" w:line="240" w:lineRule="auto"/>
        <w:ind w:firstLine="709"/>
        <w:jc w:val="both"/>
        <w:rPr>
          <w:rFonts w:ascii="Times New Roman" w:hAnsi="Times New Roman" w:cs="Times New Roman"/>
          <w:sz w:val="24"/>
          <w:szCs w:val="24"/>
        </w:rPr>
      </w:pPr>
    </w:p>
    <w:p w:rsidR="00140AED" w:rsidRPr="0095173C" w:rsidRDefault="00E54A4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Согласно приведенным данным в таблице видно, что в планируемом периоде ож</w:t>
      </w:r>
      <w:r w:rsidRPr="0095173C">
        <w:rPr>
          <w:rFonts w:ascii="Times New Roman" w:hAnsi="Times New Roman" w:cs="Times New Roman"/>
          <w:sz w:val="24"/>
          <w:szCs w:val="24"/>
        </w:rPr>
        <w:t>и</w:t>
      </w:r>
      <w:r w:rsidRPr="0095173C">
        <w:rPr>
          <w:rFonts w:ascii="Times New Roman" w:hAnsi="Times New Roman" w:cs="Times New Roman"/>
          <w:sz w:val="24"/>
          <w:szCs w:val="24"/>
        </w:rPr>
        <w:t>дается рост поступления доходов. Рост обеспечивает увеличение доходов от налогов. Н</w:t>
      </w:r>
      <w:r w:rsidRPr="0095173C">
        <w:rPr>
          <w:rFonts w:ascii="Times New Roman" w:hAnsi="Times New Roman" w:cs="Times New Roman"/>
          <w:sz w:val="24"/>
          <w:szCs w:val="24"/>
        </w:rPr>
        <w:t>е</w:t>
      </w:r>
      <w:r w:rsidRPr="0095173C">
        <w:rPr>
          <w:rFonts w:ascii="Times New Roman" w:hAnsi="Times New Roman" w:cs="Times New Roman"/>
          <w:sz w:val="24"/>
          <w:szCs w:val="24"/>
        </w:rPr>
        <w:t xml:space="preserve">налоговые доходы останутся на одном </w:t>
      </w:r>
      <w:r w:rsidR="003D1529" w:rsidRPr="0095173C">
        <w:rPr>
          <w:rFonts w:ascii="Times New Roman" w:hAnsi="Times New Roman" w:cs="Times New Roman"/>
          <w:sz w:val="24"/>
          <w:szCs w:val="24"/>
        </w:rPr>
        <w:t>уровне,</w:t>
      </w:r>
      <w:r w:rsidRPr="0095173C">
        <w:rPr>
          <w:rFonts w:ascii="Times New Roman" w:hAnsi="Times New Roman" w:cs="Times New Roman"/>
          <w:sz w:val="24"/>
          <w:szCs w:val="24"/>
        </w:rPr>
        <w:t xml:space="preserve"> и безвозмездные поступления будут с</w:t>
      </w:r>
      <w:r w:rsidRPr="0095173C">
        <w:rPr>
          <w:rFonts w:ascii="Times New Roman" w:hAnsi="Times New Roman" w:cs="Times New Roman"/>
          <w:sz w:val="24"/>
          <w:szCs w:val="24"/>
        </w:rPr>
        <w:t>о</w:t>
      </w:r>
      <w:r w:rsidRPr="0095173C">
        <w:rPr>
          <w:rFonts w:ascii="Times New Roman" w:hAnsi="Times New Roman" w:cs="Times New Roman"/>
          <w:sz w:val="24"/>
          <w:szCs w:val="24"/>
        </w:rPr>
        <w:t>кращаться.</w:t>
      </w:r>
    </w:p>
    <w:p w:rsidR="00E54A49" w:rsidRPr="0095173C" w:rsidRDefault="00E54A4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структуре доходов на 2018 год налоговые доходы составляют 96,6% (9133,0 тыс. рублей). В 2019 году рост к уровню 2018 года составит 0,7%(561 тыс. рублей). В 2020 году к уровню 2019 года рост 2,4% (237 тыс. рублей)</w:t>
      </w:r>
      <w:r w:rsidR="000B174A" w:rsidRPr="0095173C">
        <w:rPr>
          <w:rFonts w:ascii="Times New Roman" w:hAnsi="Times New Roman" w:cs="Times New Roman"/>
          <w:sz w:val="24"/>
          <w:szCs w:val="24"/>
        </w:rPr>
        <w:t>.</w:t>
      </w:r>
    </w:p>
    <w:p w:rsidR="00C8321C" w:rsidRPr="0095173C" w:rsidRDefault="00C8321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2018 году к уровню 2017 года ожидается рост налоговых доходов на 7,6%(643,0 тыс. рублей), безвозмездных поступлений - на 7,2% (17,4 тыс. рублей). Поступление нен</w:t>
      </w:r>
      <w:r w:rsidRPr="0095173C">
        <w:rPr>
          <w:rFonts w:ascii="Times New Roman" w:hAnsi="Times New Roman" w:cs="Times New Roman"/>
          <w:sz w:val="24"/>
          <w:szCs w:val="24"/>
        </w:rPr>
        <w:t>а</w:t>
      </w:r>
      <w:r w:rsidRPr="0095173C">
        <w:rPr>
          <w:rFonts w:ascii="Times New Roman" w:hAnsi="Times New Roman" w:cs="Times New Roman"/>
          <w:sz w:val="24"/>
          <w:szCs w:val="24"/>
        </w:rPr>
        <w:t>логовых доходов сократится  на 78,1% (196,0 тыс. рублей)</w:t>
      </w:r>
    </w:p>
    <w:p w:rsidR="00B86BB0" w:rsidRPr="0095173C" w:rsidRDefault="000B174A"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Прогноз налоговых и неналоговых доходов </w:t>
      </w:r>
      <w:r w:rsidR="00C8321C" w:rsidRPr="0095173C">
        <w:rPr>
          <w:rFonts w:ascii="Times New Roman" w:hAnsi="Times New Roman" w:cs="Times New Roman"/>
          <w:sz w:val="24"/>
          <w:szCs w:val="24"/>
        </w:rPr>
        <w:t>представлен в таблице 3</w:t>
      </w:r>
    </w:p>
    <w:p w:rsidR="00B86BB0" w:rsidRPr="0095173C" w:rsidRDefault="00B86BB0" w:rsidP="0095173C">
      <w:pPr>
        <w:spacing w:after="0" w:line="240" w:lineRule="auto"/>
        <w:ind w:firstLine="709"/>
        <w:jc w:val="both"/>
        <w:rPr>
          <w:rFonts w:ascii="Times New Roman" w:hAnsi="Times New Roman" w:cs="Times New Roman"/>
          <w:sz w:val="24"/>
          <w:szCs w:val="24"/>
        </w:rPr>
      </w:pPr>
    </w:p>
    <w:p w:rsidR="000B174A" w:rsidRPr="0095173C" w:rsidRDefault="00054D24"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B174A" w:rsidRPr="0095173C">
        <w:rPr>
          <w:rFonts w:ascii="Times New Roman" w:hAnsi="Times New Roman" w:cs="Times New Roman"/>
          <w:sz w:val="24"/>
          <w:szCs w:val="24"/>
        </w:rPr>
        <w:t>Таблица3</w:t>
      </w:r>
    </w:p>
    <w:tbl>
      <w:tblPr>
        <w:tblStyle w:val="a3"/>
        <w:tblW w:w="0" w:type="auto"/>
        <w:tblLayout w:type="fixed"/>
        <w:tblLook w:val="04A0"/>
      </w:tblPr>
      <w:tblGrid>
        <w:gridCol w:w="4361"/>
        <w:gridCol w:w="1546"/>
        <w:gridCol w:w="1156"/>
        <w:gridCol w:w="1156"/>
        <w:gridCol w:w="1116"/>
      </w:tblGrid>
      <w:tr w:rsidR="00606B72" w:rsidRPr="0095173C" w:rsidTr="00606B72">
        <w:trPr>
          <w:trHeight w:val="1398"/>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Наименование</w:t>
            </w:r>
          </w:p>
        </w:tc>
        <w:tc>
          <w:tcPr>
            <w:tcW w:w="1546" w:type="dxa"/>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Утверждено на 2017 год решением от26.12.2016 №54</w:t>
            </w:r>
          </w:p>
        </w:tc>
        <w:tc>
          <w:tcPr>
            <w:tcW w:w="1156" w:type="dxa"/>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2018</w:t>
            </w:r>
          </w:p>
        </w:tc>
        <w:tc>
          <w:tcPr>
            <w:tcW w:w="1156" w:type="dxa"/>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2019</w:t>
            </w:r>
          </w:p>
        </w:tc>
        <w:tc>
          <w:tcPr>
            <w:tcW w:w="1116" w:type="dxa"/>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2020</w:t>
            </w:r>
          </w:p>
        </w:tc>
      </w:tr>
      <w:tr w:rsidR="00606B72" w:rsidRPr="0095173C" w:rsidTr="00606B72">
        <w:trPr>
          <w:trHeight w:val="274"/>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НДФЛ</w:t>
            </w:r>
          </w:p>
        </w:tc>
        <w:tc>
          <w:tcPr>
            <w:tcW w:w="154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3554,0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3430,0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3482,0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3544,0</w:t>
            </w:r>
          </w:p>
        </w:tc>
      </w:tr>
      <w:tr w:rsidR="00606B72" w:rsidRPr="0095173C" w:rsidTr="00606B72">
        <w:trPr>
          <w:trHeight w:val="274"/>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Акцизы</w:t>
            </w:r>
          </w:p>
        </w:tc>
        <w:tc>
          <w:tcPr>
            <w:tcW w:w="154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1796,0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2092,0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2360,0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2355,0</w:t>
            </w:r>
          </w:p>
        </w:tc>
      </w:tr>
      <w:tr w:rsidR="00606B72" w:rsidRPr="0095173C" w:rsidTr="00606B72">
        <w:trPr>
          <w:trHeight w:val="274"/>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ЕСХН</w:t>
            </w:r>
          </w:p>
        </w:tc>
        <w:tc>
          <w:tcPr>
            <w:tcW w:w="154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4,0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65,0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68,0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70,0</w:t>
            </w:r>
          </w:p>
        </w:tc>
      </w:tr>
      <w:tr w:rsidR="00606B72" w:rsidRPr="0095173C" w:rsidTr="00606B72">
        <w:trPr>
          <w:trHeight w:val="1459"/>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Налог на имущество физических лиц, взимаемый по ставкам, применя</w:t>
            </w:r>
            <w:r w:rsidRPr="0095173C">
              <w:rPr>
                <w:rFonts w:ascii="Times New Roman" w:hAnsi="Times New Roman" w:cs="Times New Roman"/>
                <w:sz w:val="24"/>
                <w:szCs w:val="24"/>
              </w:rPr>
              <w:t>е</w:t>
            </w:r>
            <w:r w:rsidRPr="0095173C">
              <w:rPr>
                <w:rFonts w:ascii="Times New Roman" w:hAnsi="Times New Roman" w:cs="Times New Roman"/>
                <w:sz w:val="24"/>
                <w:szCs w:val="24"/>
              </w:rPr>
              <w:t>мым к объектам налогообложения, ра</w:t>
            </w:r>
            <w:r w:rsidRPr="0095173C">
              <w:rPr>
                <w:rFonts w:ascii="Times New Roman" w:hAnsi="Times New Roman" w:cs="Times New Roman"/>
                <w:sz w:val="24"/>
                <w:szCs w:val="24"/>
              </w:rPr>
              <w:t>с</w:t>
            </w:r>
            <w:r w:rsidRPr="0095173C">
              <w:rPr>
                <w:rFonts w:ascii="Times New Roman" w:hAnsi="Times New Roman" w:cs="Times New Roman"/>
                <w:sz w:val="24"/>
                <w:szCs w:val="24"/>
              </w:rPr>
              <w:t>положенным в границах городских п</w:t>
            </w:r>
            <w:r w:rsidRPr="0095173C">
              <w:rPr>
                <w:rFonts w:ascii="Times New Roman" w:hAnsi="Times New Roman" w:cs="Times New Roman"/>
                <w:sz w:val="24"/>
                <w:szCs w:val="24"/>
              </w:rPr>
              <w:t>о</w:t>
            </w:r>
            <w:r w:rsidRPr="0095173C">
              <w:rPr>
                <w:rFonts w:ascii="Times New Roman" w:hAnsi="Times New Roman" w:cs="Times New Roman"/>
                <w:sz w:val="24"/>
                <w:szCs w:val="24"/>
              </w:rPr>
              <w:t>селений</w:t>
            </w:r>
          </w:p>
        </w:tc>
        <w:tc>
          <w:tcPr>
            <w:tcW w:w="154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261,0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555,0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721,0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887,0</w:t>
            </w:r>
          </w:p>
        </w:tc>
      </w:tr>
      <w:tr w:rsidR="00606B72" w:rsidRPr="0095173C" w:rsidTr="00606B72">
        <w:trPr>
          <w:trHeight w:val="916"/>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    Земельный налог организаций, обладающих земельным участком, ра</w:t>
            </w:r>
            <w:r w:rsidRPr="0095173C">
              <w:rPr>
                <w:rFonts w:ascii="Times New Roman" w:hAnsi="Times New Roman" w:cs="Times New Roman"/>
                <w:sz w:val="24"/>
                <w:szCs w:val="24"/>
              </w:rPr>
              <w:t>с</w:t>
            </w:r>
            <w:r w:rsidRPr="0095173C">
              <w:rPr>
                <w:rFonts w:ascii="Times New Roman" w:hAnsi="Times New Roman" w:cs="Times New Roman"/>
                <w:sz w:val="24"/>
                <w:szCs w:val="24"/>
              </w:rPr>
              <w:t>положенным в границах поселений</w:t>
            </w:r>
          </w:p>
        </w:tc>
        <w:tc>
          <w:tcPr>
            <w:tcW w:w="154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2000,0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2003,0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2073,0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2080,0</w:t>
            </w:r>
          </w:p>
        </w:tc>
      </w:tr>
      <w:tr w:rsidR="00606B72" w:rsidRPr="0095173C" w:rsidTr="00606B72">
        <w:trPr>
          <w:trHeight w:val="1109"/>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Земельный налог физических лиц, обладающих земельным участком, расположенным в границах поселений</w:t>
            </w:r>
          </w:p>
        </w:tc>
        <w:tc>
          <w:tcPr>
            <w:tcW w:w="154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875,0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988,0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990,0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995,0</w:t>
            </w:r>
          </w:p>
        </w:tc>
      </w:tr>
      <w:tr w:rsidR="00606B72" w:rsidRPr="0095173C" w:rsidTr="00606B72">
        <w:trPr>
          <w:trHeight w:val="1697"/>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w:t>
            </w:r>
            <w:r w:rsidRPr="0095173C">
              <w:rPr>
                <w:rFonts w:ascii="Times New Roman" w:hAnsi="Times New Roman" w:cs="Times New Roman"/>
                <w:sz w:val="24"/>
                <w:szCs w:val="24"/>
              </w:rPr>
              <w:t>о</w:t>
            </w:r>
            <w:r w:rsidRPr="0095173C">
              <w:rPr>
                <w:rFonts w:ascii="Times New Roman" w:hAnsi="Times New Roman" w:cs="Times New Roman"/>
                <w:sz w:val="24"/>
                <w:szCs w:val="24"/>
              </w:rPr>
              <w:t>торые не разграничена и которые ра</w:t>
            </w:r>
            <w:r w:rsidRPr="0095173C">
              <w:rPr>
                <w:rFonts w:ascii="Times New Roman" w:hAnsi="Times New Roman" w:cs="Times New Roman"/>
                <w:sz w:val="24"/>
                <w:szCs w:val="24"/>
              </w:rPr>
              <w:t>с</w:t>
            </w:r>
            <w:r w:rsidRPr="0095173C">
              <w:rPr>
                <w:rFonts w:ascii="Times New Roman" w:hAnsi="Times New Roman" w:cs="Times New Roman"/>
                <w:sz w:val="24"/>
                <w:szCs w:val="24"/>
              </w:rPr>
              <w:t>положены в границах городских пос</w:t>
            </w:r>
            <w:r w:rsidRPr="0095173C">
              <w:rPr>
                <w:rFonts w:ascii="Times New Roman" w:hAnsi="Times New Roman" w:cs="Times New Roman"/>
                <w:sz w:val="24"/>
                <w:szCs w:val="24"/>
              </w:rPr>
              <w:t>е</w:t>
            </w:r>
            <w:r w:rsidRPr="0095173C">
              <w:rPr>
                <w:rFonts w:ascii="Times New Roman" w:hAnsi="Times New Roman" w:cs="Times New Roman"/>
                <w:sz w:val="24"/>
                <w:szCs w:val="24"/>
              </w:rPr>
              <w:t>лений</w:t>
            </w:r>
          </w:p>
        </w:tc>
        <w:tc>
          <w:tcPr>
            <w:tcW w:w="1546" w:type="dxa"/>
            <w:vAlign w:val="center"/>
          </w:tcPr>
          <w:p w:rsidR="00606B72" w:rsidRPr="0095173C" w:rsidRDefault="00DB0674" w:rsidP="00437A88">
            <w:pPr>
              <w:jc w:val="both"/>
              <w:rPr>
                <w:rFonts w:ascii="Times New Roman" w:hAnsi="Times New Roman" w:cs="Times New Roman"/>
                <w:sz w:val="24"/>
                <w:szCs w:val="24"/>
              </w:rPr>
            </w:pPr>
            <w:r w:rsidRPr="0095173C">
              <w:rPr>
                <w:rFonts w:ascii="Times New Roman" w:hAnsi="Times New Roman" w:cs="Times New Roman"/>
                <w:sz w:val="24"/>
                <w:szCs w:val="24"/>
              </w:rPr>
              <w:t>236,0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55,0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47,0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42,0</w:t>
            </w:r>
          </w:p>
        </w:tc>
      </w:tr>
      <w:tr w:rsidR="00606B72" w:rsidRPr="0095173C" w:rsidTr="00606B72">
        <w:trPr>
          <w:trHeight w:val="1424"/>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Доходы от продажи земельных участков, государственная собстве</w:t>
            </w:r>
            <w:r w:rsidRPr="0095173C">
              <w:rPr>
                <w:rFonts w:ascii="Times New Roman" w:hAnsi="Times New Roman" w:cs="Times New Roman"/>
                <w:sz w:val="24"/>
                <w:szCs w:val="24"/>
              </w:rPr>
              <w:t>н</w:t>
            </w:r>
            <w:r w:rsidRPr="0095173C">
              <w:rPr>
                <w:rFonts w:ascii="Times New Roman" w:hAnsi="Times New Roman" w:cs="Times New Roman"/>
                <w:sz w:val="24"/>
                <w:szCs w:val="24"/>
              </w:rPr>
              <w:t>ность на которые не разграничена и к</w:t>
            </w:r>
            <w:r w:rsidRPr="0095173C">
              <w:rPr>
                <w:rFonts w:ascii="Times New Roman" w:hAnsi="Times New Roman" w:cs="Times New Roman"/>
                <w:sz w:val="24"/>
                <w:szCs w:val="24"/>
              </w:rPr>
              <w:t>о</w:t>
            </w:r>
            <w:r w:rsidRPr="0095173C">
              <w:rPr>
                <w:rFonts w:ascii="Times New Roman" w:hAnsi="Times New Roman" w:cs="Times New Roman"/>
                <w:sz w:val="24"/>
                <w:szCs w:val="24"/>
              </w:rPr>
              <w:t>торые расположены в границах горо</w:t>
            </w:r>
            <w:r w:rsidRPr="0095173C">
              <w:rPr>
                <w:rFonts w:ascii="Times New Roman" w:hAnsi="Times New Roman" w:cs="Times New Roman"/>
                <w:sz w:val="24"/>
                <w:szCs w:val="24"/>
              </w:rPr>
              <w:t>д</w:t>
            </w:r>
            <w:r w:rsidRPr="0095173C">
              <w:rPr>
                <w:rFonts w:ascii="Times New Roman" w:hAnsi="Times New Roman" w:cs="Times New Roman"/>
                <w:sz w:val="24"/>
                <w:szCs w:val="24"/>
              </w:rPr>
              <w:t>ских поселений</w:t>
            </w:r>
          </w:p>
        </w:tc>
        <w:tc>
          <w:tcPr>
            <w:tcW w:w="1546" w:type="dxa"/>
            <w:vAlign w:val="center"/>
          </w:tcPr>
          <w:p w:rsidR="00606B72" w:rsidRPr="0095173C" w:rsidRDefault="00DB0674" w:rsidP="00437A88">
            <w:pPr>
              <w:jc w:val="both"/>
              <w:rPr>
                <w:rFonts w:ascii="Times New Roman" w:hAnsi="Times New Roman" w:cs="Times New Roman"/>
                <w:sz w:val="24"/>
                <w:szCs w:val="24"/>
              </w:rPr>
            </w:pPr>
            <w:r w:rsidRPr="0095173C">
              <w:rPr>
                <w:rFonts w:ascii="Times New Roman" w:hAnsi="Times New Roman" w:cs="Times New Roman"/>
                <w:sz w:val="24"/>
                <w:szCs w:val="24"/>
              </w:rPr>
              <w:t>15,0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8</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5,0</w:t>
            </w:r>
          </w:p>
        </w:tc>
      </w:tr>
      <w:tr w:rsidR="00606B72" w:rsidRPr="0095173C" w:rsidTr="00606B72">
        <w:trPr>
          <w:trHeight w:val="289"/>
        </w:trPr>
        <w:tc>
          <w:tcPr>
            <w:tcW w:w="4361" w:type="dxa"/>
          </w:tcPr>
          <w:p w:rsidR="00606B72" w:rsidRPr="0095173C" w:rsidRDefault="00606B72" w:rsidP="0095173C">
            <w:pPr>
              <w:ind w:firstLine="709"/>
              <w:jc w:val="both"/>
              <w:rPr>
                <w:rFonts w:ascii="Times New Roman" w:hAnsi="Times New Roman" w:cs="Times New Roman"/>
                <w:sz w:val="24"/>
                <w:szCs w:val="24"/>
              </w:rPr>
            </w:pPr>
            <w:r w:rsidRPr="0095173C">
              <w:rPr>
                <w:rFonts w:ascii="Times New Roman" w:hAnsi="Times New Roman" w:cs="Times New Roman"/>
                <w:sz w:val="24"/>
                <w:szCs w:val="24"/>
              </w:rPr>
              <w:t>ИТОГО</w:t>
            </w:r>
          </w:p>
        </w:tc>
        <w:tc>
          <w:tcPr>
            <w:tcW w:w="1546" w:type="dxa"/>
            <w:vAlign w:val="center"/>
          </w:tcPr>
          <w:p w:rsidR="00606B72" w:rsidRPr="0095173C" w:rsidRDefault="00DB0674" w:rsidP="00437A88">
            <w:pPr>
              <w:jc w:val="both"/>
              <w:rPr>
                <w:rFonts w:ascii="Times New Roman" w:hAnsi="Times New Roman" w:cs="Times New Roman"/>
                <w:sz w:val="24"/>
                <w:szCs w:val="24"/>
              </w:rPr>
            </w:pPr>
            <w:r w:rsidRPr="0095173C">
              <w:rPr>
                <w:rFonts w:ascii="Times New Roman" w:hAnsi="Times New Roman" w:cs="Times New Roman"/>
                <w:sz w:val="24"/>
                <w:szCs w:val="24"/>
              </w:rPr>
              <w:t>8741,0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9188,0</w:t>
            </w:r>
          </w:p>
        </w:tc>
        <w:tc>
          <w:tcPr>
            <w:tcW w:w="115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9749,0</w:t>
            </w:r>
          </w:p>
        </w:tc>
        <w:tc>
          <w:tcPr>
            <w:tcW w:w="1116" w:type="dxa"/>
            <w:vAlign w:val="center"/>
          </w:tcPr>
          <w:p w:rsidR="00606B72" w:rsidRPr="0095173C" w:rsidRDefault="00606B72" w:rsidP="00437A88">
            <w:pPr>
              <w:jc w:val="both"/>
              <w:rPr>
                <w:rFonts w:ascii="Times New Roman" w:hAnsi="Times New Roman" w:cs="Times New Roman"/>
                <w:sz w:val="24"/>
                <w:szCs w:val="24"/>
              </w:rPr>
            </w:pPr>
            <w:r w:rsidRPr="0095173C">
              <w:rPr>
                <w:rFonts w:ascii="Times New Roman" w:hAnsi="Times New Roman" w:cs="Times New Roman"/>
                <w:sz w:val="24"/>
                <w:szCs w:val="24"/>
              </w:rPr>
              <w:t>9978,0</w:t>
            </w:r>
          </w:p>
        </w:tc>
      </w:tr>
    </w:tbl>
    <w:p w:rsidR="000B174A" w:rsidRPr="0095173C" w:rsidRDefault="000B174A" w:rsidP="0095173C">
      <w:pPr>
        <w:spacing w:after="0" w:line="240" w:lineRule="auto"/>
        <w:ind w:firstLine="709"/>
        <w:jc w:val="both"/>
        <w:rPr>
          <w:rFonts w:ascii="Times New Roman" w:hAnsi="Times New Roman" w:cs="Times New Roman"/>
          <w:sz w:val="24"/>
          <w:szCs w:val="24"/>
        </w:rPr>
      </w:pPr>
    </w:p>
    <w:p w:rsidR="00DF2040" w:rsidRPr="0095173C" w:rsidRDefault="00DF2040"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lastRenderedPageBreak/>
        <w:t>В структуре поступлений в доходную часть бюджета городского поселения «Идр</w:t>
      </w:r>
      <w:r w:rsidRPr="0095173C">
        <w:rPr>
          <w:rFonts w:ascii="Times New Roman" w:hAnsi="Times New Roman" w:cs="Times New Roman"/>
          <w:sz w:val="24"/>
          <w:szCs w:val="24"/>
        </w:rPr>
        <w:t>и</w:t>
      </w:r>
      <w:r w:rsidRPr="0095173C">
        <w:rPr>
          <w:rFonts w:ascii="Times New Roman" w:hAnsi="Times New Roman" w:cs="Times New Roman"/>
          <w:sz w:val="24"/>
          <w:szCs w:val="24"/>
        </w:rPr>
        <w:t>ца»</w:t>
      </w:r>
      <w:r w:rsidR="00B01A19" w:rsidRPr="0095173C">
        <w:rPr>
          <w:rFonts w:ascii="Times New Roman" w:hAnsi="Times New Roman" w:cs="Times New Roman"/>
          <w:sz w:val="24"/>
          <w:szCs w:val="24"/>
        </w:rPr>
        <w:t xml:space="preserve"> на предстоящий финансовый период занимает налог на доходы физических лиц (НДФЛ): в 2018 году – 37,3%, в 2019 году – 35,7%, в 2020 году – 35,5%.</w:t>
      </w:r>
    </w:p>
    <w:p w:rsidR="003E05BD" w:rsidRPr="0095173C" w:rsidRDefault="003E05BD"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 На предстоящий период планируется рост НДФЛ в 2019 году к уровню 2018 года на 1,5% (52 тыс. рублей), в 2020году к уровню 2019 – на 1,8% (62 тыс. рублей)</w:t>
      </w:r>
    </w:p>
    <w:p w:rsidR="003E05BD" w:rsidRPr="0095173C" w:rsidRDefault="003E05BD"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общем объеме доходов НДФЛ занимает  36,3%.</w:t>
      </w:r>
    </w:p>
    <w:p w:rsidR="003F54ED" w:rsidRPr="0095173C" w:rsidRDefault="003F54ED"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Получение акциза в 2018 году планируется в размере 2092 тыс. рублей (22,8% от суммы поступления налоговых и неналоговых доходов). На предстоящий плановый пер</w:t>
      </w:r>
      <w:r w:rsidRPr="0095173C">
        <w:rPr>
          <w:rFonts w:ascii="Times New Roman" w:hAnsi="Times New Roman" w:cs="Times New Roman"/>
          <w:sz w:val="24"/>
          <w:szCs w:val="24"/>
        </w:rPr>
        <w:t>и</w:t>
      </w:r>
      <w:r w:rsidRPr="0095173C">
        <w:rPr>
          <w:rFonts w:ascii="Times New Roman" w:hAnsi="Times New Roman" w:cs="Times New Roman"/>
          <w:sz w:val="24"/>
          <w:szCs w:val="24"/>
        </w:rPr>
        <w:t>од 2019 и 2020 годов рост к уровню 2018 года составит 12,8% и 12,5% соответственно.</w:t>
      </w:r>
    </w:p>
    <w:p w:rsidR="003F54ED" w:rsidRPr="0095173C" w:rsidRDefault="003F54ED"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общем объеме доходов акциз занимает 22,1%.</w:t>
      </w:r>
    </w:p>
    <w:p w:rsidR="003F54ED" w:rsidRPr="0095173C" w:rsidRDefault="003F54ED"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Значительным источником доходов на предстоящий период является также з</w:t>
      </w:r>
      <w:r w:rsidRPr="0095173C">
        <w:rPr>
          <w:rFonts w:ascii="Times New Roman" w:hAnsi="Times New Roman" w:cs="Times New Roman"/>
          <w:sz w:val="24"/>
          <w:szCs w:val="24"/>
        </w:rPr>
        <w:t>е</w:t>
      </w:r>
      <w:r w:rsidRPr="0095173C">
        <w:rPr>
          <w:rFonts w:ascii="Times New Roman" w:hAnsi="Times New Roman" w:cs="Times New Roman"/>
          <w:sz w:val="24"/>
          <w:szCs w:val="24"/>
        </w:rPr>
        <w:t>мельный налог. На 2018 год планируется поступление земельного налога в сумме 2991,0 тыс. рублей (земельный налог организаций 2003 тыс. рублей, земельный налог физич</w:t>
      </w:r>
      <w:r w:rsidRPr="0095173C">
        <w:rPr>
          <w:rFonts w:ascii="Times New Roman" w:hAnsi="Times New Roman" w:cs="Times New Roman"/>
          <w:sz w:val="24"/>
          <w:szCs w:val="24"/>
        </w:rPr>
        <w:t>е</w:t>
      </w:r>
      <w:r w:rsidRPr="0095173C">
        <w:rPr>
          <w:rFonts w:ascii="Times New Roman" w:hAnsi="Times New Roman" w:cs="Times New Roman"/>
          <w:sz w:val="24"/>
          <w:szCs w:val="24"/>
        </w:rPr>
        <w:t xml:space="preserve">ских лиц 988 тыс. рублей). На 2019 год рост поступлений земельного налога к уровню 2018 года ожидается на 2,4%, а в 2020 году к уровню 2018 года </w:t>
      </w:r>
      <w:r w:rsidR="00DA381F" w:rsidRPr="0095173C">
        <w:rPr>
          <w:rFonts w:ascii="Times New Roman" w:hAnsi="Times New Roman" w:cs="Times New Roman"/>
          <w:sz w:val="24"/>
          <w:szCs w:val="24"/>
        </w:rPr>
        <w:t>– на 2,8%.</w:t>
      </w:r>
    </w:p>
    <w:p w:rsidR="00E55079" w:rsidRPr="0095173C" w:rsidRDefault="00E5507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общем объеме доходов 2018 года земельный налог занимает 31,7%.</w:t>
      </w:r>
    </w:p>
    <w:p w:rsidR="00E84AAE" w:rsidRPr="0095173C" w:rsidRDefault="00E5507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Безвозмездные поступления в 2018 году ожидаются в сумме 260,74 тыс. рублей, в 2019 году – 162,4 тыс. рублей,  в 2020 году -168,09 тыс. рублей. Из них: субвенции бю</w:t>
      </w:r>
      <w:r w:rsidRPr="0095173C">
        <w:rPr>
          <w:rFonts w:ascii="Times New Roman" w:hAnsi="Times New Roman" w:cs="Times New Roman"/>
          <w:sz w:val="24"/>
          <w:szCs w:val="24"/>
        </w:rPr>
        <w:t>д</w:t>
      </w:r>
      <w:r w:rsidRPr="0095173C">
        <w:rPr>
          <w:rFonts w:ascii="Times New Roman" w:hAnsi="Times New Roman" w:cs="Times New Roman"/>
          <w:sz w:val="24"/>
          <w:szCs w:val="24"/>
        </w:rPr>
        <w:t>жетам городских поселений на осуществление первичного воинского учета на территор</w:t>
      </w:r>
      <w:r w:rsidRPr="0095173C">
        <w:rPr>
          <w:rFonts w:ascii="Times New Roman" w:hAnsi="Times New Roman" w:cs="Times New Roman"/>
          <w:sz w:val="24"/>
          <w:szCs w:val="24"/>
        </w:rPr>
        <w:t>и</w:t>
      </w:r>
      <w:r w:rsidRPr="0095173C">
        <w:rPr>
          <w:rFonts w:ascii="Times New Roman" w:hAnsi="Times New Roman" w:cs="Times New Roman"/>
          <w:sz w:val="24"/>
          <w:szCs w:val="24"/>
        </w:rPr>
        <w:t>ях, где отсутствуют военные комиссариаты, в 2018 и 2019 году 160,74 тыс. рублей, в 2020 году – 168,08 тыс. рублей. Прочие межбюджетные трансферты, передаваемые бюджетам поселений, в 2018 году ожидаются в сумме 100 тыс. рублей</w:t>
      </w:r>
      <w:r w:rsidR="00E84AAE" w:rsidRPr="0095173C">
        <w:rPr>
          <w:rFonts w:ascii="Times New Roman" w:hAnsi="Times New Roman" w:cs="Times New Roman"/>
          <w:sz w:val="24"/>
          <w:szCs w:val="24"/>
        </w:rPr>
        <w:t>.</w:t>
      </w:r>
    </w:p>
    <w:p w:rsidR="00E84AAE" w:rsidRPr="0095173C" w:rsidRDefault="00E84AA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Таким образом, можно сделать вывод: бюджет муниципального образования  «И</w:t>
      </w:r>
      <w:r w:rsidRPr="0095173C">
        <w:rPr>
          <w:rFonts w:ascii="Times New Roman" w:hAnsi="Times New Roman" w:cs="Times New Roman"/>
          <w:sz w:val="24"/>
          <w:szCs w:val="24"/>
        </w:rPr>
        <w:t>д</w:t>
      </w:r>
      <w:r w:rsidRPr="0095173C">
        <w:rPr>
          <w:rFonts w:ascii="Times New Roman" w:hAnsi="Times New Roman" w:cs="Times New Roman"/>
          <w:sz w:val="24"/>
          <w:szCs w:val="24"/>
        </w:rPr>
        <w:t>рица» имеет устойчивый рост собственных доходов, основанных на получении налоговых и неналоговых доходов.</w:t>
      </w:r>
    </w:p>
    <w:p w:rsidR="00E84AAE" w:rsidRPr="0095173C" w:rsidRDefault="00E84AAE" w:rsidP="0095173C">
      <w:pPr>
        <w:spacing w:after="0" w:line="240" w:lineRule="auto"/>
        <w:ind w:firstLine="709"/>
        <w:jc w:val="both"/>
        <w:rPr>
          <w:rFonts w:ascii="Times New Roman" w:hAnsi="Times New Roman" w:cs="Times New Roman"/>
          <w:sz w:val="24"/>
          <w:szCs w:val="24"/>
        </w:rPr>
      </w:pPr>
    </w:p>
    <w:p w:rsidR="00E84AAE" w:rsidRPr="0095173C" w:rsidRDefault="00E84AAE" w:rsidP="0095173C">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b/>
          <w:i/>
          <w:sz w:val="24"/>
          <w:szCs w:val="24"/>
        </w:rPr>
        <w:t xml:space="preserve">Общий объем расходов бюджета муниципального образования </w:t>
      </w:r>
      <w:r w:rsidR="00486CB8" w:rsidRPr="0095173C">
        <w:rPr>
          <w:rFonts w:ascii="Times New Roman" w:hAnsi="Times New Roman" w:cs="Times New Roman"/>
          <w:b/>
          <w:i/>
          <w:sz w:val="24"/>
          <w:szCs w:val="24"/>
        </w:rPr>
        <w:t xml:space="preserve"> </w:t>
      </w:r>
      <w:r w:rsidRPr="0095173C">
        <w:rPr>
          <w:rFonts w:ascii="Times New Roman" w:hAnsi="Times New Roman" w:cs="Times New Roman"/>
          <w:b/>
          <w:i/>
          <w:sz w:val="24"/>
          <w:szCs w:val="24"/>
        </w:rPr>
        <w:t>«Идрица» на 2018 год</w:t>
      </w:r>
    </w:p>
    <w:p w:rsidR="00E84AAE" w:rsidRPr="0095173C" w:rsidRDefault="00E84AA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Общий объем расходов бюджета муниципального образования </w:t>
      </w:r>
      <w:r w:rsidR="00D40485" w:rsidRPr="0095173C">
        <w:rPr>
          <w:rFonts w:ascii="Times New Roman" w:hAnsi="Times New Roman" w:cs="Times New Roman"/>
          <w:sz w:val="24"/>
          <w:szCs w:val="24"/>
        </w:rPr>
        <w:t>«</w:t>
      </w:r>
      <w:r w:rsidRPr="0095173C">
        <w:rPr>
          <w:rFonts w:ascii="Times New Roman" w:hAnsi="Times New Roman" w:cs="Times New Roman"/>
          <w:sz w:val="24"/>
          <w:szCs w:val="24"/>
        </w:rPr>
        <w:t>Идрица» на 2018 год в проекте бюджета предусмотрен в сумме 9448,7 тыс. рублей.</w:t>
      </w:r>
    </w:p>
    <w:p w:rsidR="002721C5" w:rsidRPr="0095173C" w:rsidRDefault="002721C5"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Динамика расходов бюджета выглядит следующим образом (таблица 4).</w:t>
      </w:r>
    </w:p>
    <w:p w:rsidR="00B87C7A" w:rsidRPr="0095173C" w:rsidRDefault="00850789"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7C7A" w:rsidRPr="0095173C">
        <w:rPr>
          <w:rFonts w:ascii="Times New Roman" w:hAnsi="Times New Roman" w:cs="Times New Roman"/>
          <w:sz w:val="24"/>
          <w:szCs w:val="24"/>
        </w:rPr>
        <w:t>Таблица 4</w:t>
      </w:r>
    </w:p>
    <w:p w:rsidR="00B87C7A" w:rsidRPr="0095173C" w:rsidRDefault="00850789"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7C7A" w:rsidRPr="0095173C">
        <w:rPr>
          <w:rFonts w:ascii="Times New Roman" w:hAnsi="Times New Roman" w:cs="Times New Roman"/>
          <w:sz w:val="24"/>
          <w:szCs w:val="24"/>
        </w:rPr>
        <w:t>(тыс. рублей)</w:t>
      </w:r>
    </w:p>
    <w:tbl>
      <w:tblPr>
        <w:tblStyle w:val="a3"/>
        <w:tblW w:w="0" w:type="auto"/>
        <w:tblLook w:val="04A0"/>
      </w:tblPr>
      <w:tblGrid>
        <w:gridCol w:w="3936"/>
        <w:gridCol w:w="837"/>
        <w:gridCol w:w="932"/>
        <w:gridCol w:w="1186"/>
        <w:gridCol w:w="932"/>
        <w:gridCol w:w="874"/>
        <w:gridCol w:w="874"/>
      </w:tblGrid>
      <w:tr w:rsidR="00293839" w:rsidRPr="0095173C" w:rsidTr="00850789">
        <w:trPr>
          <w:trHeight w:val="270"/>
        </w:trPr>
        <w:tc>
          <w:tcPr>
            <w:tcW w:w="3936" w:type="dxa"/>
            <w:vMerge w:val="restart"/>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Наименование показателя</w:t>
            </w:r>
          </w:p>
        </w:tc>
        <w:tc>
          <w:tcPr>
            <w:tcW w:w="837" w:type="dxa"/>
            <w:vMerge w:val="restart"/>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к</w:t>
            </w:r>
            <w:r w:rsidR="00850789">
              <w:rPr>
                <w:rFonts w:ascii="Times New Roman" w:hAnsi="Times New Roman" w:cs="Times New Roman"/>
                <w:sz w:val="24"/>
                <w:szCs w:val="24"/>
              </w:rPr>
              <w:t>г</w:t>
            </w:r>
            <w:r w:rsidRPr="0095173C">
              <w:rPr>
                <w:rFonts w:ascii="Times New Roman" w:hAnsi="Times New Roman" w:cs="Times New Roman"/>
                <w:sz w:val="24"/>
                <w:szCs w:val="24"/>
              </w:rPr>
              <w:t>од</w:t>
            </w:r>
          </w:p>
        </w:tc>
        <w:tc>
          <w:tcPr>
            <w:tcW w:w="0" w:type="auto"/>
            <w:vMerge w:val="restart"/>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2016 год</w:t>
            </w:r>
          </w:p>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(факт)</w:t>
            </w:r>
          </w:p>
        </w:tc>
        <w:tc>
          <w:tcPr>
            <w:tcW w:w="0" w:type="auto"/>
            <w:vMerge w:val="restart"/>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2017 год</w:t>
            </w:r>
          </w:p>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(прогноз)</w:t>
            </w:r>
          </w:p>
        </w:tc>
        <w:tc>
          <w:tcPr>
            <w:tcW w:w="0" w:type="auto"/>
            <w:vMerge w:val="restart"/>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2018 год</w:t>
            </w:r>
          </w:p>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(план)</w:t>
            </w:r>
          </w:p>
        </w:tc>
        <w:tc>
          <w:tcPr>
            <w:tcW w:w="0" w:type="auto"/>
            <w:gridSpan w:val="2"/>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2018 год в % к</w:t>
            </w:r>
          </w:p>
        </w:tc>
      </w:tr>
      <w:tr w:rsidR="00293839" w:rsidRPr="0095173C" w:rsidTr="00850789">
        <w:trPr>
          <w:trHeight w:val="285"/>
        </w:trPr>
        <w:tc>
          <w:tcPr>
            <w:tcW w:w="3936" w:type="dxa"/>
            <w:vMerge/>
            <w:vAlign w:val="center"/>
          </w:tcPr>
          <w:p w:rsidR="00293839" w:rsidRPr="0095173C" w:rsidRDefault="00293839" w:rsidP="00850789">
            <w:pPr>
              <w:ind w:firstLine="709"/>
              <w:jc w:val="center"/>
              <w:rPr>
                <w:rFonts w:ascii="Times New Roman" w:hAnsi="Times New Roman" w:cs="Times New Roman"/>
                <w:sz w:val="24"/>
                <w:szCs w:val="24"/>
              </w:rPr>
            </w:pPr>
          </w:p>
        </w:tc>
        <w:tc>
          <w:tcPr>
            <w:tcW w:w="837" w:type="dxa"/>
            <w:vMerge/>
            <w:vAlign w:val="center"/>
          </w:tcPr>
          <w:p w:rsidR="00293839" w:rsidRPr="0095173C" w:rsidRDefault="00293839" w:rsidP="00850789">
            <w:pPr>
              <w:ind w:firstLine="709"/>
              <w:jc w:val="center"/>
              <w:rPr>
                <w:rFonts w:ascii="Times New Roman" w:hAnsi="Times New Roman" w:cs="Times New Roman"/>
                <w:sz w:val="24"/>
                <w:szCs w:val="24"/>
              </w:rPr>
            </w:pPr>
          </w:p>
        </w:tc>
        <w:tc>
          <w:tcPr>
            <w:tcW w:w="0" w:type="auto"/>
            <w:vMerge/>
            <w:vAlign w:val="center"/>
          </w:tcPr>
          <w:p w:rsidR="00293839" w:rsidRPr="0095173C" w:rsidRDefault="00293839" w:rsidP="00850789">
            <w:pPr>
              <w:ind w:firstLine="709"/>
              <w:jc w:val="center"/>
              <w:rPr>
                <w:rFonts w:ascii="Times New Roman" w:hAnsi="Times New Roman" w:cs="Times New Roman"/>
                <w:sz w:val="24"/>
                <w:szCs w:val="24"/>
              </w:rPr>
            </w:pPr>
          </w:p>
        </w:tc>
        <w:tc>
          <w:tcPr>
            <w:tcW w:w="0" w:type="auto"/>
            <w:vMerge/>
            <w:vAlign w:val="center"/>
          </w:tcPr>
          <w:p w:rsidR="00293839" w:rsidRPr="0095173C" w:rsidRDefault="00293839" w:rsidP="00850789">
            <w:pPr>
              <w:ind w:firstLine="709"/>
              <w:jc w:val="center"/>
              <w:rPr>
                <w:rFonts w:ascii="Times New Roman" w:hAnsi="Times New Roman" w:cs="Times New Roman"/>
                <w:sz w:val="24"/>
                <w:szCs w:val="24"/>
              </w:rPr>
            </w:pPr>
          </w:p>
        </w:tc>
        <w:tc>
          <w:tcPr>
            <w:tcW w:w="0" w:type="auto"/>
            <w:vMerge/>
            <w:vAlign w:val="center"/>
          </w:tcPr>
          <w:p w:rsidR="00293839" w:rsidRPr="0095173C" w:rsidRDefault="00293839" w:rsidP="00850789">
            <w:pPr>
              <w:ind w:firstLine="709"/>
              <w:jc w:val="center"/>
              <w:rPr>
                <w:rFonts w:ascii="Times New Roman" w:hAnsi="Times New Roman" w:cs="Times New Roman"/>
                <w:sz w:val="24"/>
                <w:szCs w:val="24"/>
              </w:rPr>
            </w:pP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2016 году</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2017 году</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Общегосударственные ра</w:t>
            </w:r>
            <w:r w:rsidRPr="0095173C">
              <w:rPr>
                <w:rFonts w:ascii="Times New Roman" w:hAnsi="Times New Roman" w:cs="Times New Roman"/>
                <w:sz w:val="24"/>
                <w:szCs w:val="24"/>
              </w:rPr>
              <w:t>с</w:t>
            </w:r>
            <w:r w:rsidRPr="0095173C">
              <w:rPr>
                <w:rFonts w:ascii="Times New Roman" w:hAnsi="Times New Roman" w:cs="Times New Roman"/>
                <w:sz w:val="24"/>
                <w:szCs w:val="24"/>
              </w:rPr>
              <w:t>ходы</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0100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3911,2</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3531,5</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3648,8</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93,3</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03,3</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Национальная оборона</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0200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154,5</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143,3</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160,7</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104,0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112,1</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Национальная безопасность и правоохранительная деятельность</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0300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86,4</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85,1</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80,0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92,6</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94,0</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Национальная экономика</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0400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1619,7</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2096,0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2102,0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129,8</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100,3</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Жилищно-коммунальное х</w:t>
            </w:r>
            <w:r w:rsidRPr="0095173C">
              <w:rPr>
                <w:rFonts w:ascii="Times New Roman" w:hAnsi="Times New Roman" w:cs="Times New Roman"/>
                <w:sz w:val="24"/>
                <w:szCs w:val="24"/>
              </w:rPr>
              <w:t>о</w:t>
            </w:r>
            <w:r w:rsidRPr="0095173C">
              <w:rPr>
                <w:rFonts w:ascii="Times New Roman" w:hAnsi="Times New Roman" w:cs="Times New Roman"/>
                <w:sz w:val="24"/>
                <w:szCs w:val="24"/>
              </w:rPr>
              <w:t>зяйство</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0500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1478,8</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1671,5</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1677,6</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113,4</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100,4</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Культура</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0800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233,5</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218,8</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154,0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65,9</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70,4</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Социальная политика</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1000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450,2</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468,3</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411,6</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91,4</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87,9</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Межбюджетные трансферты</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t>1</w:t>
            </w:r>
            <w:r w:rsidRPr="0095173C">
              <w:rPr>
                <w:rFonts w:ascii="Times New Roman" w:hAnsi="Times New Roman" w:cs="Times New Roman"/>
                <w:sz w:val="24"/>
                <w:szCs w:val="24"/>
              </w:rPr>
              <w:lastRenderedPageBreak/>
              <w:t>100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lastRenderedPageBreak/>
              <w:t>1758,0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901,0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1214,0</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69,1</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134,7</w:t>
            </w:r>
          </w:p>
        </w:tc>
      </w:tr>
      <w:tr w:rsidR="00293839" w:rsidRPr="0095173C" w:rsidTr="00850789">
        <w:tc>
          <w:tcPr>
            <w:tcW w:w="3936" w:type="dxa"/>
            <w:vAlign w:val="center"/>
          </w:tcPr>
          <w:p w:rsidR="00293839" w:rsidRPr="0095173C" w:rsidRDefault="00293839" w:rsidP="00850789">
            <w:pPr>
              <w:ind w:firstLine="709"/>
              <w:jc w:val="center"/>
              <w:rPr>
                <w:rFonts w:ascii="Times New Roman" w:hAnsi="Times New Roman" w:cs="Times New Roman"/>
                <w:sz w:val="24"/>
                <w:szCs w:val="24"/>
              </w:rPr>
            </w:pPr>
            <w:r w:rsidRPr="0095173C">
              <w:rPr>
                <w:rFonts w:ascii="Times New Roman" w:hAnsi="Times New Roman" w:cs="Times New Roman"/>
                <w:sz w:val="24"/>
                <w:szCs w:val="24"/>
              </w:rPr>
              <w:lastRenderedPageBreak/>
              <w:t>ИТОГО</w:t>
            </w:r>
          </w:p>
        </w:tc>
        <w:tc>
          <w:tcPr>
            <w:tcW w:w="837" w:type="dxa"/>
            <w:vAlign w:val="center"/>
          </w:tcPr>
          <w:p w:rsidR="00293839" w:rsidRPr="0095173C" w:rsidRDefault="00293839" w:rsidP="00850789">
            <w:pPr>
              <w:ind w:firstLine="709"/>
              <w:jc w:val="center"/>
              <w:rPr>
                <w:rFonts w:ascii="Times New Roman" w:hAnsi="Times New Roman" w:cs="Times New Roman"/>
                <w:sz w:val="24"/>
                <w:szCs w:val="24"/>
              </w:rPr>
            </w:pP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9692,3</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9115,4</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9448,7</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97,5</w:t>
            </w:r>
          </w:p>
        </w:tc>
        <w:tc>
          <w:tcPr>
            <w:tcW w:w="0" w:type="auto"/>
            <w:vAlign w:val="center"/>
          </w:tcPr>
          <w:p w:rsidR="00293839" w:rsidRPr="0095173C" w:rsidRDefault="00293839" w:rsidP="00850789">
            <w:pPr>
              <w:rPr>
                <w:rFonts w:ascii="Times New Roman" w:hAnsi="Times New Roman" w:cs="Times New Roman"/>
                <w:sz w:val="24"/>
                <w:szCs w:val="24"/>
              </w:rPr>
            </w:pPr>
            <w:r w:rsidRPr="0095173C">
              <w:rPr>
                <w:rFonts w:ascii="Times New Roman" w:hAnsi="Times New Roman" w:cs="Times New Roman"/>
                <w:sz w:val="24"/>
                <w:szCs w:val="24"/>
              </w:rPr>
              <w:t>103,6</w:t>
            </w:r>
          </w:p>
        </w:tc>
      </w:tr>
    </w:tbl>
    <w:p w:rsidR="00B87C7A" w:rsidRPr="0095173C" w:rsidRDefault="00B87C7A" w:rsidP="0095173C">
      <w:pPr>
        <w:spacing w:after="0" w:line="240" w:lineRule="auto"/>
        <w:ind w:firstLine="709"/>
        <w:jc w:val="both"/>
        <w:rPr>
          <w:rFonts w:ascii="Times New Roman" w:hAnsi="Times New Roman" w:cs="Times New Roman"/>
          <w:sz w:val="24"/>
          <w:szCs w:val="24"/>
        </w:rPr>
      </w:pPr>
    </w:p>
    <w:p w:rsidR="00B87C7A" w:rsidRPr="0095173C" w:rsidRDefault="0029383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2018 году планируется увеличение расходов в сравнении с прогнозом 2017 года на 3,6% (333,3 тыс. рублей). Социально направленные расходы в 2018 году составят су</w:t>
      </w:r>
      <w:r w:rsidRPr="0095173C">
        <w:rPr>
          <w:rFonts w:ascii="Times New Roman" w:hAnsi="Times New Roman" w:cs="Times New Roman"/>
          <w:sz w:val="24"/>
          <w:szCs w:val="24"/>
        </w:rPr>
        <w:t>м</w:t>
      </w:r>
      <w:r w:rsidRPr="0095173C">
        <w:rPr>
          <w:rFonts w:ascii="Times New Roman" w:hAnsi="Times New Roman" w:cs="Times New Roman"/>
          <w:sz w:val="24"/>
          <w:szCs w:val="24"/>
        </w:rPr>
        <w:t>му 2243,2 тыс. рублей, что на 4,9% (115,4 тыс. рублей) меньше прогнозируемого уровня 2017 года.</w:t>
      </w:r>
    </w:p>
    <w:p w:rsidR="00C61664" w:rsidRPr="0095173C" w:rsidRDefault="00C61664"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 сравнению с 2016 годом социально направленные расходы возросли  на 3,7% (80,7 тыс. рублей).</w:t>
      </w:r>
    </w:p>
    <w:p w:rsidR="00AD1E41" w:rsidRPr="0095173C" w:rsidRDefault="00AD1E41"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 общей сумме расходов</w:t>
      </w:r>
      <w:r w:rsidR="008D3B34" w:rsidRPr="0095173C">
        <w:rPr>
          <w:rFonts w:ascii="Times New Roman" w:hAnsi="Times New Roman" w:cs="Times New Roman"/>
          <w:sz w:val="24"/>
          <w:szCs w:val="24"/>
        </w:rPr>
        <w:t xml:space="preserve"> 2018 года</w:t>
      </w:r>
      <w:r w:rsidRPr="0095173C">
        <w:rPr>
          <w:rFonts w:ascii="Times New Roman" w:hAnsi="Times New Roman" w:cs="Times New Roman"/>
          <w:sz w:val="24"/>
          <w:szCs w:val="24"/>
        </w:rPr>
        <w:t xml:space="preserve"> социально направленные расходы занимают  23,7%.</w:t>
      </w:r>
    </w:p>
    <w:p w:rsidR="00293839" w:rsidRPr="0095173C" w:rsidRDefault="0029383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 К уровню 2017 года наблюдается рост общегосударственных расходов на 3,3%, расходов на национальную оборону на 12,1%. Рост межбюджетных трансфертов по з</w:t>
      </w:r>
      <w:r w:rsidRPr="0095173C">
        <w:rPr>
          <w:rFonts w:ascii="Times New Roman" w:hAnsi="Times New Roman" w:cs="Times New Roman"/>
          <w:sz w:val="24"/>
          <w:szCs w:val="24"/>
        </w:rPr>
        <w:t>а</w:t>
      </w:r>
      <w:r w:rsidRPr="0095173C">
        <w:rPr>
          <w:rFonts w:ascii="Times New Roman" w:hAnsi="Times New Roman" w:cs="Times New Roman"/>
          <w:sz w:val="24"/>
          <w:szCs w:val="24"/>
        </w:rPr>
        <w:t>ключенным соглашениям на 34,7%.</w:t>
      </w:r>
    </w:p>
    <w:p w:rsidR="00296077" w:rsidRPr="0095173C" w:rsidRDefault="0029607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Структура и удельный вес расходов представлены в таблице 5.</w:t>
      </w:r>
    </w:p>
    <w:p w:rsidR="00296077" w:rsidRPr="0095173C" w:rsidRDefault="00850789" w:rsidP="00951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6077" w:rsidRPr="0095173C">
        <w:rPr>
          <w:rFonts w:ascii="Times New Roman" w:hAnsi="Times New Roman" w:cs="Times New Roman"/>
          <w:sz w:val="24"/>
          <w:szCs w:val="24"/>
        </w:rPr>
        <w:t>Таблица 5</w:t>
      </w:r>
    </w:p>
    <w:tbl>
      <w:tblPr>
        <w:tblStyle w:val="a3"/>
        <w:tblW w:w="0" w:type="auto"/>
        <w:tblLook w:val="04A0"/>
      </w:tblPr>
      <w:tblGrid>
        <w:gridCol w:w="4011"/>
        <w:gridCol w:w="1298"/>
        <w:gridCol w:w="1482"/>
        <w:gridCol w:w="1298"/>
        <w:gridCol w:w="1482"/>
      </w:tblGrid>
      <w:tr w:rsidR="00296077" w:rsidRPr="0095173C" w:rsidTr="007168B8">
        <w:trPr>
          <w:trHeight w:val="210"/>
        </w:trPr>
        <w:tc>
          <w:tcPr>
            <w:tcW w:w="0" w:type="auto"/>
            <w:vMerge w:val="restart"/>
            <w:vAlign w:val="center"/>
          </w:tcPr>
          <w:p w:rsidR="00296077" w:rsidRPr="0095173C" w:rsidRDefault="00296077"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Наименование показателя</w:t>
            </w:r>
          </w:p>
        </w:tc>
        <w:tc>
          <w:tcPr>
            <w:tcW w:w="0" w:type="auto"/>
            <w:gridSpan w:val="2"/>
            <w:vAlign w:val="center"/>
          </w:tcPr>
          <w:p w:rsidR="00296077" w:rsidRPr="0095173C" w:rsidRDefault="00296077"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2017 год</w:t>
            </w:r>
          </w:p>
        </w:tc>
        <w:tc>
          <w:tcPr>
            <w:tcW w:w="0" w:type="auto"/>
            <w:gridSpan w:val="2"/>
            <w:vAlign w:val="center"/>
          </w:tcPr>
          <w:p w:rsidR="00296077" w:rsidRPr="0095173C" w:rsidRDefault="00296077"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2018 год</w:t>
            </w:r>
          </w:p>
        </w:tc>
      </w:tr>
      <w:tr w:rsidR="00296077" w:rsidRPr="0095173C" w:rsidTr="007168B8">
        <w:trPr>
          <w:trHeight w:val="345"/>
        </w:trPr>
        <w:tc>
          <w:tcPr>
            <w:tcW w:w="0" w:type="auto"/>
            <w:vMerge/>
            <w:vAlign w:val="center"/>
          </w:tcPr>
          <w:p w:rsidR="00296077" w:rsidRPr="0095173C" w:rsidRDefault="00296077" w:rsidP="007168B8">
            <w:pPr>
              <w:ind w:firstLine="709"/>
              <w:jc w:val="center"/>
              <w:rPr>
                <w:rFonts w:ascii="Times New Roman" w:hAnsi="Times New Roman" w:cs="Times New Roman"/>
                <w:sz w:val="24"/>
                <w:szCs w:val="24"/>
              </w:rPr>
            </w:pPr>
          </w:p>
        </w:tc>
        <w:tc>
          <w:tcPr>
            <w:tcW w:w="0" w:type="auto"/>
            <w:vAlign w:val="center"/>
          </w:tcPr>
          <w:p w:rsidR="00296077" w:rsidRPr="0095173C" w:rsidRDefault="00296077" w:rsidP="007168B8">
            <w:pPr>
              <w:rPr>
                <w:rFonts w:ascii="Times New Roman" w:hAnsi="Times New Roman" w:cs="Times New Roman"/>
                <w:sz w:val="24"/>
                <w:szCs w:val="24"/>
              </w:rPr>
            </w:pPr>
            <w:r w:rsidRPr="0095173C">
              <w:rPr>
                <w:rFonts w:ascii="Times New Roman" w:hAnsi="Times New Roman" w:cs="Times New Roman"/>
                <w:sz w:val="24"/>
                <w:szCs w:val="24"/>
              </w:rPr>
              <w:t>Сумма, тыс. руб.</w:t>
            </w:r>
          </w:p>
        </w:tc>
        <w:tc>
          <w:tcPr>
            <w:tcW w:w="0" w:type="auto"/>
            <w:vAlign w:val="center"/>
          </w:tcPr>
          <w:p w:rsidR="00296077" w:rsidRPr="0095173C" w:rsidRDefault="00296077" w:rsidP="007168B8">
            <w:pPr>
              <w:rPr>
                <w:rFonts w:ascii="Times New Roman" w:hAnsi="Times New Roman" w:cs="Times New Roman"/>
                <w:sz w:val="24"/>
                <w:szCs w:val="24"/>
              </w:rPr>
            </w:pPr>
            <w:r w:rsidRPr="0095173C">
              <w:rPr>
                <w:rFonts w:ascii="Times New Roman" w:hAnsi="Times New Roman" w:cs="Times New Roman"/>
                <w:sz w:val="24"/>
                <w:szCs w:val="24"/>
              </w:rPr>
              <w:t>Удельный вес,%</w:t>
            </w:r>
          </w:p>
        </w:tc>
        <w:tc>
          <w:tcPr>
            <w:tcW w:w="0" w:type="auto"/>
            <w:vAlign w:val="center"/>
          </w:tcPr>
          <w:p w:rsidR="00296077" w:rsidRPr="0095173C" w:rsidRDefault="00296077" w:rsidP="007168B8">
            <w:pPr>
              <w:rPr>
                <w:rFonts w:ascii="Times New Roman" w:hAnsi="Times New Roman" w:cs="Times New Roman"/>
                <w:sz w:val="24"/>
                <w:szCs w:val="24"/>
              </w:rPr>
            </w:pPr>
            <w:r w:rsidRPr="0095173C">
              <w:rPr>
                <w:rFonts w:ascii="Times New Roman" w:hAnsi="Times New Roman" w:cs="Times New Roman"/>
                <w:sz w:val="24"/>
                <w:szCs w:val="24"/>
              </w:rPr>
              <w:t>Сумма, тыс. руб.</w:t>
            </w:r>
          </w:p>
        </w:tc>
        <w:tc>
          <w:tcPr>
            <w:tcW w:w="0" w:type="auto"/>
            <w:vAlign w:val="center"/>
          </w:tcPr>
          <w:p w:rsidR="00296077" w:rsidRPr="0095173C" w:rsidRDefault="00296077" w:rsidP="007168B8">
            <w:pPr>
              <w:rPr>
                <w:rFonts w:ascii="Times New Roman" w:hAnsi="Times New Roman" w:cs="Times New Roman"/>
                <w:sz w:val="24"/>
                <w:szCs w:val="24"/>
              </w:rPr>
            </w:pPr>
            <w:r w:rsidRPr="0095173C">
              <w:rPr>
                <w:rFonts w:ascii="Times New Roman" w:hAnsi="Times New Roman" w:cs="Times New Roman"/>
                <w:sz w:val="24"/>
                <w:szCs w:val="24"/>
              </w:rPr>
              <w:t>Удельный вес,%</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Общегосударственные ра</w:t>
            </w:r>
            <w:r w:rsidRPr="0095173C">
              <w:rPr>
                <w:rFonts w:ascii="Times New Roman" w:hAnsi="Times New Roman" w:cs="Times New Roman"/>
                <w:sz w:val="24"/>
                <w:szCs w:val="24"/>
              </w:rPr>
              <w:t>с</w:t>
            </w:r>
            <w:r w:rsidRPr="0095173C">
              <w:rPr>
                <w:rFonts w:ascii="Times New Roman" w:hAnsi="Times New Roman" w:cs="Times New Roman"/>
                <w:sz w:val="24"/>
                <w:szCs w:val="24"/>
              </w:rPr>
              <w:t>ходы</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3531,5</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38,8</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3648,8</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38,8</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Национальная оборона</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143,3</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1,6</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160,7</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1,7</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Национальная безопасность и правоохранительная деятельность</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85,1</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0,9</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80,0</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0,8</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Национальная экономика</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2096,0</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23,0</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2102,0</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22,2</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Жилищно-коммунальное х</w:t>
            </w:r>
            <w:r w:rsidRPr="0095173C">
              <w:rPr>
                <w:rFonts w:ascii="Times New Roman" w:hAnsi="Times New Roman" w:cs="Times New Roman"/>
                <w:sz w:val="24"/>
                <w:szCs w:val="24"/>
              </w:rPr>
              <w:t>о</w:t>
            </w:r>
            <w:r w:rsidRPr="0095173C">
              <w:rPr>
                <w:rFonts w:ascii="Times New Roman" w:hAnsi="Times New Roman" w:cs="Times New Roman"/>
                <w:sz w:val="24"/>
                <w:szCs w:val="24"/>
              </w:rPr>
              <w:t>зяйство</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1671,5</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18,3</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1677,6</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17,7</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Культура</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218,8</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2,4</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154,0</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1,6</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Социальная политика</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468,3</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5,1</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411,6</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4,3</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Межбюджетные трансферты</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901,0</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9,9</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1214,0</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12,9</w:t>
            </w:r>
          </w:p>
        </w:tc>
      </w:tr>
      <w:tr w:rsidR="007F4030" w:rsidRPr="0095173C" w:rsidTr="007168B8">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ИТОГО</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9115,4</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100,0</w:t>
            </w:r>
          </w:p>
        </w:tc>
        <w:tc>
          <w:tcPr>
            <w:tcW w:w="0" w:type="auto"/>
            <w:vAlign w:val="center"/>
          </w:tcPr>
          <w:p w:rsidR="007F4030" w:rsidRPr="0095173C" w:rsidRDefault="007F4030" w:rsidP="007168B8">
            <w:pPr>
              <w:rPr>
                <w:rFonts w:ascii="Times New Roman" w:hAnsi="Times New Roman" w:cs="Times New Roman"/>
                <w:sz w:val="24"/>
                <w:szCs w:val="24"/>
              </w:rPr>
            </w:pPr>
            <w:r w:rsidRPr="0095173C">
              <w:rPr>
                <w:rFonts w:ascii="Times New Roman" w:hAnsi="Times New Roman" w:cs="Times New Roman"/>
                <w:sz w:val="24"/>
                <w:szCs w:val="24"/>
              </w:rPr>
              <w:t>9448,7</w:t>
            </w:r>
          </w:p>
        </w:tc>
        <w:tc>
          <w:tcPr>
            <w:tcW w:w="0" w:type="auto"/>
            <w:vAlign w:val="center"/>
          </w:tcPr>
          <w:p w:rsidR="007F4030" w:rsidRPr="0095173C" w:rsidRDefault="007F4030" w:rsidP="007168B8">
            <w:pPr>
              <w:ind w:firstLine="709"/>
              <w:jc w:val="center"/>
              <w:rPr>
                <w:rFonts w:ascii="Times New Roman" w:hAnsi="Times New Roman" w:cs="Times New Roman"/>
                <w:sz w:val="24"/>
                <w:szCs w:val="24"/>
              </w:rPr>
            </w:pPr>
            <w:r w:rsidRPr="0095173C">
              <w:rPr>
                <w:rFonts w:ascii="Times New Roman" w:hAnsi="Times New Roman" w:cs="Times New Roman"/>
                <w:sz w:val="24"/>
                <w:szCs w:val="24"/>
              </w:rPr>
              <w:t>100,0</w:t>
            </w:r>
          </w:p>
        </w:tc>
      </w:tr>
    </w:tbl>
    <w:p w:rsidR="00296077" w:rsidRPr="0095173C" w:rsidRDefault="003F53B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Основными функциональными направлениями расходования средств бюджета я</w:t>
      </w:r>
      <w:r w:rsidRPr="0095173C">
        <w:rPr>
          <w:rFonts w:ascii="Times New Roman" w:hAnsi="Times New Roman" w:cs="Times New Roman"/>
          <w:sz w:val="24"/>
          <w:szCs w:val="24"/>
        </w:rPr>
        <w:t>в</w:t>
      </w:r>
      <w:r w:rsidRPr="0095173C">
        <w:rPr>
          <w:rFonts w:ascii="Times New Roman" w:hAnsi="Times New Roman" w:cs="Times New Roman"/>
          <w:sz w:val="24"/>
          <w:szCs w:val="24"/>
        </w:rPr>
        <w:t>ляются: «Общегосударственные расходы». «Национальная экономика» и «Жилищно-коммунальное хозяйство». На их реализацию направлено  7428,4 тыс. рублей (78,6% ра</w:t>
      </w:r>
      <w:r w:rsidRPr="0095173C">
        <w:rPr>
          <w:rFonts w:ascii="Times New Roman" w:hAnsi="Times New Roman" w:cs="Times New Roman"/>
          <w:sz w:val="24"/>
          <w:szCs w:val="24"/>
        </w:rPr>
        <w:t>с</w:t>
      </w:r>
      <w:r w:rsidRPr="0095173C">
        <w:rPr>
          <w:rFonts w:ascii="Times New Roman" w:hAnsi="Times New Roman" w:cs="Times New Roman"/>
          <w:sz w:val="24"/>
          <w:szCs w:val="24"/>
        </w:rPr>
        <w:t>ходов бюджета)</w:t>
      </w:r>
    </w:p>
    <w:p w:rsidR="00334BFE" w:rsidRPr="0095173C" w:rsidRDefault="007F4030"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Наибольший удельный вес в структуре расходов – 38,8% - занимают общегосуда</w:t>
      </w:r>
      <w:r w:rsidRPr="0095173C">
        <w:rPr>
          <w:rFonts w:ascii="Times New Roman" w:hAnsi="Times New Roman" w:cs="Times New Roman"/>
          <w:sz w:val="24"/>
          <w:szCs w:val="24"/>
        </w:rPr>
        <w:t>р</w:t>
      </w:r>
      <w:r w:rsidRPr="0095173C">
        <w:rPr>
          <w:rFonts w:ascii="Times New Roman" w:hAnsi="Times New Roman" w:cs="Times New Roman"/>
          <w:sz w:val="24"/>
          <w:szCs w:val="24"/>
        </w:rPr>
        <w:t>ственные расходы.</w:t>
      </w:r>
      <w:r w:rsidR="00E72589" w:rsidRPr="0095173C">
        <w:rPr>
          <w:rFonts w:ascii="Times New Roman" w:hAnsi="Times New Roman" w:cs="Times New Roman"/>
          <w:sz w:val="24"/>
          <w:szCs w:val="24"/>
        </w:rPr>
        <w:t xml:space="preserve"> </w:t>
      </w:r>
      <w:r w:rsidR="003F53B8" w:rsidRPr="0095173C">
        <w:rPr>
          <w:rFonts w:ascii="Times New Roman" w:hAnsi="Times New Roman" w:cs="Times New Roman"/>
          <w:sz w:val="24"/>
          <w:szCs w:val="24"/>
        </w:rPr>
        <w:t>(Код 0100)</w:t>
      </w:r>
    </w:p>
    <w:p w:rsidR="00995020" w:rsidRPr="0095173C" w:rsidRDefault="00E7258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На муниципальное управление направляется сумма 1661,6 тыс. рублей</w:t>
      </w:r>
      <w:r w:rsidR="000D0649" w:rsidRPr="0095173C">
        <w:rPr>
          <w:rFonts w:ascii="Times New Roman" w:hAnsi="Times New Roman" w:cs="Times New Roman"/>
          <w:sz w:val="24"/>
          <w:szCs w:val="24"/>
        </w:rPr>
        <w:t xml:space="preserve"> в соответс</w:t>
      </w:r>
      <w:r w:rsidR="000D0649" w:rsidRPr="0095173C">
        <w:rPr>
          <w:rFonts w:ascii="Times New Roman" w:hAnsi="Times New Roman" w:cs="Times New Roman"/>
          <w:sz w:val="24"/>
          <w:szCs w:val="24"/>
        </w:rPr>
        <w:t>т</w:t>
      </w:r>
      <w:r w:rsidR="000D0649" w:rsidRPr="0095173C">
        <w:rPr>
          <w:rFonts w:ascii="Times New Roman" w:hAnsi="Times New Roman" w:cs="Times New Roman"/>
          <w:sz w:val="24"/>
          <w:szCs w:val="24"/>
        </w:rPr>
        <w:t>вии с нормативами, утвержденными</w:t>
      </w:r>
      <w:r w:rsidR="00341C00" w:rsidRPr="0095173C">
        <w:rPr>
          <w:rFonts w:ascii="Times New Roman" w:hAnsi="Times New Roman" w:cs="Times New Roman"/>
          <w:sz w:val="24"/>
          <w:szCs w:val="24"/>
        </w:rPr>
        <w:t xml:space="preserve"> распоряжением администрации городского посел</w:t>
      </w:r>
      <w:r w:rsidR="00341C00" w:rsidRPr="0095173C">
        <w:rPr>
          <w:rFonts w:ascii="Times New Roman" w:hAnsi="Times New Roman" w:cs="Times New Roman"/>
          <w:sz w:val="24"/>
          <w:szCs w:val="24"/>
        </w:rPr>
        <w:t>е</w:t>
      </w:r>
      <w:r w:rsidR="00341C00" w:rsidRPr="0095173C">
        <w:rPr>
          <w:rFonts w:ascii="Times New Roman" w:hAnsi="Times New Roman" w:cs="Times New Roman"/>
          <w:sz w:val="24"/>
          <w:szCs w:val="24"/>
        </w:rPr>
        <w:t>ния «Идрица». По подразделу 0113 «Прочие выплаты» направляется сумма 738,9 тыс. рублей</w:t>
      </w:r>
      <w:r w:rsidR="00995020" w:rsidRPr="0095173C">
        <w:rPr>
          <w:rFonts w:ascii="Times New Roman" w:hAnsi="Times New Roman" w:cs="Times New Roman"/>
          <w:sz w:val="24"/>
          <w:szCs w:val="24"/>
        </w:rPr>
        <w:t xml:space="preserve"> на выплаты муниципальным служащим и работникам, замещающим муниципал</w:t>
      </w:r>
      <w:r w:rsidR="00995020" w:rsidRPr="0095173C">
        <w:rPr>
          <w:rFonts w:ascii="Times New Roman" w:hAnsi="Times New Roman" w:cs="Times New Roman"/>
          <w:sz w:val="24"/>
          <w:szCs w:val="24"/>
        </w:rPr>
        <w:t>ь</w:t>
      </w:r>
      <w:r w:rsidR="00995020" w:rsidRPr="0095173C">
        <w:rPr>
          <w:rFonts w:ascii="Times New Roman" w:hAnsi="Times New Roman" w:cs="Times New Roman"/>
          <w:sz w:val="24"/>
          <w:szCs w:val="24"/>
        </w:rPr>
        <w:t>ные должности органов местного самоуправления</w:t>
      </w:r>
      <w:r w:rsidR="00341C00" w:rsidRPr="0095173C">
        <w:rPr>
          <w:rFonts w:ascii="Times New Roman" w:hAnsi="Times New Roman" w:cs="Times New Roman"/>
          <w:sz w:val="24"/>
          <w:szCs w:val="24"/>
        </w:rPr>
        <w:t>.</w:t>
      </w:r>
    </w:p>
    <w:p w:rsidR="00296077" w:rsidRPr="0095173C" w:rsidRDefault="00E90413"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 Содержание работников, не относящихся к муниципальным служащим, составляет 554,7 тыс. рублей</w:t>
      </w:r>
      <w:r w:rsidR="00334BFE" w:rsidRPr="0095173C">
        <w:rPr>
          <w:rFonts w:ascii="Times New Roman" w:hAnsi="Times New Roman" w:cs="Times New Roman"/>
          <w:sz w:val="24"/>
          <w:szCs w:val="24"/>
        </w:rPr>
        <w:t>.</w:t>
      </w:r>
    </w:p>
    <w:p w:rsidR="00995020" w:rsidRPr="0095173C" w:rsidRDefault="00995020"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На создание резервного фонда Администрации городского поселения «Идрица» направляется 3,0 тыс. рублей. Резервный фонд Администрации поселения на мероприятия по предупреждению и ликвидации чрезвычайных ситуаций и последствий стихийных бе</w:t>
      </w:r>
      <w:r w:rsidRPr="0095173C">
        <w:rPr>
          <w:rFonts w:ascii="Times New Roman" w:hAnsi="Times New Roman" w:cs="Times New Roman"/>
          <w:sz w:val="24"/>
          <w:szCs w:val="24"/>
        </w:rPr>
        <w:t>д</w:t>
      </w:r>
      <w:r w:rsidRPr="0095173C">
        <w:rPr>
          <w:rFonts w:ascii="Times New Roman" w:hAnsi="Times New Roman" w:cs="Times New Roman"/>
          <w:sz w:val="24"/>
          <w:szCs w:val="24"/>
        </w:rPr>
        <w:t>ствий составит 30,0 тыс. рублей</w:t>
      </w:r>
    </w:p>
    <w:p w:rsidR="00995020" w:rsidRPr="0095173C" w:rsidRDefault="00995020"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Код 0203 «Национальная оборона» в структуре расходов занимает </w:t>
      </w:r>
      <w:r w:rsidR="00F729E9" w:rsidRPr="0095173C">
        <w:rPr>
          <w:rFonts w:ascii="Times New Roman" w:hAnsi="Times New Roman" w:cs="Times New Roman"/>
          <w:sz w:val="24"/>
          <w:szCs w:val="24"/>
        </w:rPr>
        <w:t>1,7% (160,7 тыс. рублей). Средства выделены из областного бюджета на осуществление полномочий по первичному воинскому учету на территориях, где отсутствуют военные комиссариаты.</w:t>
      </w:r>
    </w:p>
    <w:p w:rsidR="00F729E9" w:rsidRPr="0095173C" w:rsidRDefault="00F729E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lastRenderedPageBreak/>
        <w:t>Код 0300 «Национальная безопасность» в структуре расходов занимает 0,8% (80 тыс. рублей). Средства направляются на реализацию мероприятий по обеспечению п</w:t>
      </w:r>
      <w:r w:rsidRPr="0095173C">
        <w:rPr>
          <w:rFonts w:ascii="Times New Roman" w:hAnsi="Times New Roman" w:cs="Times New Roman"/>
          <w:sz w:val="24"/>
          <w:szCs w:val="24"/>
        </w:rPr>
        <w:t>о</w:t>
      </w:r>
      <w:r w:rsidRPr="0095173C">
        <w:rPr>
          <w:rFonts w:ascii="Times New Roman" w:hAnsi="Times New Roman" w:cs="Times New Roman"/>
          <w:sz w:val="24"/>
          <w:szCs w:val="24"/>
        </w:rPr>
        <w:t>жарной безопасности.</w:t>
      </w:r>
    </w:p>
    <w:p w:rsidR="00334BFE" w:rsidRPr="0095173C" w:rsidRDefault="00334BF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Код 0400 «Национальная экономика» в структуре расходов занимает 22,2%. (2102,0 тыс. рублей).</w:t>
      </w:r>
    </w:p>
    <w:p w:rsidR="00334BFE" w:rsidRPr="0095173C" w:rsidRDefault="00334BF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За счет средств Дорожного фонда городского поселения «Идрица» 1892,0 тыс. ру</w:t>
      </w:r>
      <w:r w:rsidRPr="0095173C">
        <w:rPr>
          <w:rFonts w:ascii="Times New Roman" w:hAnsi="Times New Roman" w:cs="Times New Roman"/>
          <w:sz w:val="24"/>
          <w:szCs w:val="24"/>
        </w:rPr>
        <w:t>б</w:t>
      </w:r>
      <w:r w:rsidRPr="0095173C">
        <w:rPr>
          <w:rFonts w:ascii="Times New Roman" w:hAnsi="Times New Roman" w:cs="Times New Roman"/>
          <w:sz w:val="24"/>
          <w:szCs w:val="24"/>
        </w:rPr>
        <w:t>лей будет направлено на текущий ремонт и содержание дорог, улиц, проездов, мостов</w:t>
      </w:r>
      <w:r w:rsidR="00D40485" w:rsidRPr="0095173C">
        <w:rPr>
          <w:rFonts w:ascii="Times New Roman" w:hAnsi="Times New Roman" w:cs="Times New Roman"/>
          <w:sz w:val="24"/>
          <w:szCs w:val="24"/>
        </w:rPr>
        <w:t>.</w:t>
      </w:r>
      <w:r w:rsidR="00F06249">
        <w:rPr>
          <w:rFonts w:ascii="Times New Roman" w:hAnsi="Times New Roman" w:cs="Times New Roman"/>
          <w:sz w:val="24"/>
          <w:szCs w:val="24"/>
        </w:rPr>
        <w:t xml:space="preserve"> </w:t>
      </w:r>
      <w:r w:rsidR="00D40485" w:rsidRPr="0095173C">
        <w:rPr>
          <w:rFonts w:ascii="Times New Roman" w:hAnsi="Times New Roman" w:cs="Times New Roman"/>
          <w:sz w:val="24"/>
          <w:szCs w:val="24"/>
        </w:rPr>
        <w:t>Н</w:t>
      </w:r>
      <w:r w:rsidRPr="0095173C">
        <w:rPr>
          <w:rFonts w:ascii="Times New Roman" w:hAnsi="Times New Roman" w:cs="Times New Roman"/>
          <w:sz w:val="24"/>
          <w:szCs w:val="24"/>
        </w:rPr>
        <w:t>а содержание автомобильных дорог общего пользования местного значения направляется 210,0 тыс. рублей</w:t>
      </w:r>
      <w:r w:rsidR="003F53B8" w:rsidRPr="0095173C">
        <w:rPr>
          <w:rFonts w:ascii="Times New Roman" w:hAnsi="Times New Roman" w:cs="Times New Roman"/>
          <w:sz w:val="24"/>
          <w:szCs w:val="24"/>
        </w:rPr>
        <w:t>.</w:t>
      </w:r>
    </w:p>
    <w:p w:rsidR="003F53B8" w:rsidRPr="0095173C" w:rsidRDefault="003F53B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Код 0500 «Жилищно-коммунальное хозяйство» 1677,6 тыс. рублей. В структуре расходов занимает 17,7%.</w:t>
      </w:r>
    </w:p>
    <w:p w:rsidR="001B65D8" w:rsidRPr="0095173C" w:rsidRDefault="003F53B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 подразделу 0503 «</w:t>
      </w:r>
      <w:r w:rsidR="00B728DA" w:rsidRPr="0095173C">
        <w:rPr>
          <w:rFonts w:ascii="Times New Roman" w:hAnsi="Times New Roman" w:cs="Times New Roman"/>
          <w:sz w:val="24"/>
          <w:szCs w:val="24"/>
        </w:rPr>
        <w:t>Благоустройство</w:t>
      </w:r>
      <w:r w:rsidRPr="0095173C">
        <w:rPr>
          <w:rFonts w:ascii="Times New Roman" w:hAnsi="Times New Roman" w:cs="Times New Roman"/>
          <w:sz w:val="24"/>
          <w:szCs w:val="24"/>
        </w:rPr>
        <w:t>» на уличное освещение направляется 690 .0 тыс. рублей, на благоустройство – 987,6 тыс. рублей</w:t>
      </w:r>
      <w:r w:rsidR="00F729E9" w:rsidRPr="0095173C">
        <w:rPr>
          <w:rFonts w:ascii="Times New Roman" w:hAnsi="Times New Roman" w:cs="Times New Roman"/>
          <w:sz w:val="24"/>
          <w:szCs w:val="24"/>
        </w:rPr>
        <w:t xml:space="preserve"> (из них: проведение ремонта и ус</w:t>
      </w:r>
      <w:r w:rsidR="00F729E9" w:rsidRPr="0095173C">
        <w:rPr>
          <w:rFonts w:ascii="Times New Roman" w:hAnsi="Times New Roman" w:cs="Times New Roman"/>
          <w:sz w:val="24"/>
          <w:szCs w:val="24"/>
        </w:rPr>
        <w:t>т</w:t>
      </w:r>
      <w:r w:rsidR="00F729E9" w:rsidRPr="0095173C">
        <w:rPr>
          <w:rFonts w:ascii="Times New Roman" w:hAnsi="Times New Roman" w:cs="Times New Roman"/>
          <w:sz w:val="24"/>
          <w:szCs w:val="24"/>
        </w:rPr>
        <w:t>ройство воинских захоронений, памятников 200,0 тыс. рублей)</w:t>
      </w:r>
    </w:p>
    <w:p w:rsidR="00B728DA" w:rsidRPr="0095173C" w:rsidRDefault="00B728DA"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Код 0800 « Культура» в структуре расходов занимает 1,6% (154 тыс. рублей). Сре</w:t>
      </w:r>
      <w:r w:rsidRPr="0095173C">
        <w:rPr>
          <w:rFonts w:ascii="Times New Roman" w:hAnsi="Times New Roman" w:cs="Times New Roman"/>
          <w:sz w:val="24"/>
          <w:szCs w:val="24"/>
        </w:rPr>
        <w:t>д</w:t>
      </w:r>
      <w:r w:rsidRPr="0095173C">
        <w:rPr>
          <w:rFonts w:ascii="Times New Roman" w:hAnsi="Times New Roman" w:cs="Times New Roman"/>
          <w:sz w:val="24"/>
          <w:szCs w:val="24"/>
        </w:rPr>
        <w:t>ства планируется направить на выполнение работ по подготовке и обслуживанию праз</w:t>
      </w:r>
      <w:r w:rsidRPr="0095173C">
        <w:rPr>
          <w:rFonts w:ascii="Times New Roman" w:hAnsi="Times New Roman" w:cs="Times New Roman"/>
          <w:sz w:val="24"/>
          <w:szCs w:val="24"/>
        </w:rPr>
        <w:t>д</w:t>
      </w:r>
      <w:r w:rsidRPr="0095173C">
        <w:rPr>
          <w:rFonts w:ascii="Times New Roman" w:hAnsi="Times New Roman" w:cs="Times New Roman"/>
          <w:sz w:val="24"/>
          <w:szCs w:val="24"/>
        </w:rPr>
        <w:t>ничных мероприятий.</w:t>
      </w:r>
    </w:p>
    <w:p w:rsidR="003B6AA7" w:rsidRPr="0095173C" w:rsidRDefault="003B6AA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Код 1000 «Социальная политика» в структуре расходов занимает 4,3% (411,6 тыс. рублей).</w:t>
      </w:r>
    </w:p>
    <w:p w:rsidR="003B6AA7" w:rsidRPr="0095173C" w:rsidRDefault="003B6AA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 подразделу 1001 «Пенсии, пособия, выплачиваемые организациями сектора г</w:t>
      </w:r>
      <w:r w:rsidRPr="0095173C">
        <w:rPr>
          <w:rFonts w:ascii="Times New Roman" w:hAnsi="Times New Roman" w:cs="Times New Roman"/>
          <w:sz w:val="24"/>
          <w:szCs w:val="24"/>
        </w:rPr>
        <w:t>о</w:t>
      </w:r>
      <w:r w:rsidRPr="0095173C">
        <w:rPr>
          <w:rFonts w:ascii="Times New Roman" w:hAnsi="Times New Roman" w:cs="Times New Roman"/>
          <w:sz w:val="24"/>
          <w:szCs w:val="24"/>
        </w:rPr>
        <w:t>сударственного управления»  283,6 тыс. рублей.</w:t>
      </w:r>
    </w:p>
    <w:p w:rsidR="003B6AA7" w:rsidRPr="0095173C" w:rsidRDefault="003B6AA7"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 подразделу 1006 «Пособия по социальной помощи населению» единовременная выплата к Дню Победы 73-й годовщины в Великой Отечественной войне 1941-1945 годов 182,0 тыс. рублей</w:t>
      </w:r>
    </w:p>
    <w:p w:rsidR="00BC0C32" w:rsidRPr="0095173C" w:rsidRDefault="00BC0C32"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Код 1100 « Межбюджетные трансферты» в структуре расходов занимают 12,9% (1214,0 тыс. рублей).</w:t>
      </w:r>
    </w:p>
    <w:p w:rsidR="00BC0C32" w:rsidRPr="0095173C" w:rsidRDefault="00BC0C32"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Подраздел 0106 « Обеспечение деятельности финансовых, налоговых и таможе</w:t>
      </w:r>
      <w:r w:rsidRPr="0095173C">
        <w:rPr>
          <w:rFonts w:ascii="Times New Roman" w:hAnsi="Times New Roman" w:cs="Times New Roman"/>
          <w:sz w:val="24"/>
          <w:szCs w:val="24"/>
        </w:rPr>
        <w:t>н</w:t>
      </w:r>
      <w:r w:rsidRPr="0095173C">
        <w:rPr>
          <w:rFonts w:ascii="Times New Roman" w:hAnsi="Times New Roman" w:cs="Times New Roman"/>
          <w:sz w:val="24"/>
          <w:szCs w:val="24"/>
        </w:rPr>
        <w:t>ных органов и органов финансового (финансово-бюджетного) надзора 14,0 тыс. рублей в соответствии с соглашением.</w:t>
      </w:r>
    </w:p>
    <w:p w:rsidR="00BC0C32" w:rsidRPr="0095173C" w:rsidRDefault="00BC0C32"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Подраздел 0409 «Дорожное хозяйство» на осуществление дорожной деятельности,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горо</w:t>
      </w:r>
      <w:r w:rsidRPr="0095173C">
        <w:rPr>
          <w:rFonts w:ascii="Times New Roman" w:hAnsi="Times New Roman" w:cs="Times New Roman"/>
          <w:sz w:val="24"/>
          <w:szCs w:val="24"/>
        </w:rPr>
        <w:t>д</w:t>
      </w:r>
      <w:r w:rsidRPr="0095173C">
        <w:rPr>
          <w:rFonts w:ascii="Times New Roman" w:hAnsi="Times New Roman" w:cs="Times New Roman"/>
          <w:sz w:val="24"/>
          <w:szCs w:val="24"/>
        </w:rPr>
        <w:t>ского поселения 200,0 тыс. рублей</w:t>
      </w:r>
      <w:r w:rsidR="00BA6646" w:rsidRPr="0095173C">
        <w:rPr>
          <w:rFonts w:ascii="Times New Roman" w:hAnsi="Times New Roman" w:cs="Times New Roman"/>
          <w:sz w:val="24"/>
          <w:szCs w:val="24"/>
        </w:rPr>
        <w:t xml:space="preserve"> в соответствии с переданными полномочиями</w:t>
      </w:r>
      <w:r w:rsidRPr="0095173C">
        <w:rPr>
          <w:rFonts w:ascii="Times New Roman" w:hAnsi="Times New Roman" w:cs="Times New Roman"/>
          <w:sz w:val="24"/>
          <w:szCs w:val="24"/>
        </w:rPr>
        <w:t>.</w:t>
      </w:r>
    </w:p>
    <w:p w:rsidR="00BC0C32" w:rsidRPr="0095173C" w:rsidRDefault="00BC0C32"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Подраздел 0501 «Жилищное хозяйство» межбюджетные трансферты бюджету м</w:t>
      </w:r>
      <w:r w:rsidRPr="0095173C">
        <w:rPr>
          <w:rFonts w:ascii="Times New Roman" w:hAnsi="Times New Roman" w:cs="Times New Roman"/>
          <w:sz w:val="24"/>
          <w:szCs w:val="24"/>
        </w:rPr>
        <w:t>у</w:t>
      </w:r>
      <w:r w:rsidRPr="0095173C">
        <w:rPr>
          <w:rFonts w:ascii="Times New Roman" w:hAnsi="Times New Roman" w:cs="Times New Roman"/>
          <w:sz w:val="24"/>
          <w:szCs w:val="24"/>
        </w:rPr>
        <w:t>ниципального образования «Себежский район» на осуществление переданных полном</w:t>
      </w:r>
      <w:r w:rsidRPr="0095173C">
        <w:rPr>
          <w:rFonts w:ascii="Times New Roman" w:hAnsi="Times New Roman" w:cs="Times New Roman"/>
          <w:sz w:val="24"/>
          <w:szCs w:val="24"/>
        </w:rPr>
        <w:t>о</w:t>
      </w:r>
      <w:r w:rsidRPr="0095173C">
        <w:rPr>
          <w:rFonts w:ascii="Times New Roman" w:hAnsi="Times New Roman" w:cs="Times New Roman"/>
          <w:sz w:val="24"/>
          <w:szCs w:val="24"/>
        </w:rPr>
        <w:t>чий 600,0 тыс. рублей.</w:t>
      </w:r>
    </w:p>
    <w:p w:rsidR="00BC0C32" w:rsidRPr="0095173C" w:rsidRDefault="00BC0C32"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Подраздел 0502 «Коммунальное хозяйство» межбюджетные трансферты бюджету муниципального образования «Себежский район» на осуществление переданных полн</w:t>
      </w:r>
      <w:r w:rsidRPr="0095173C">
        <w:rPr>
          <w:rFonts w:ascii="Times New Roman" w:hAnsi="Times New Roman" w:cs="Times New Roman"/>
          <w:sz w:val="24"/>
          <w:szCs w:val="24"/>
        </w:rPr>
        <w:t>о</w:t>
      </w:r>
      <w:r w:rsidRPr="0095173C">
        <w:rPr>
          <w:rFonts w:ascii="Times New Roman" w:hAnsi="Times New Roman" w:cs="Times New Roman"/>
          <w:sz w:val="24"/>
          <w:szCs w:val="24"/>
        </w:rPr>
        <w:t>мочий 200,0 тыс. рублей.</w:t>
      </w:r>
    </w:p>
    <w:p w:rsidR="00BC0C32" w:rsidRPr="0095173C" w:rsidRDefault="00BC0C32"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Подраздел 0701 «Дошкольное образование» межбюджетные трансферты бюджету муниципального образования «Себежский район» на осуществление переданных полн</w:t>
      </w:r>
      <w:r w:rsidRPr="0095173C">
        <w:rPr>
          <w:rFonts w:ascii="Times New Roman" w:hAnsi="Times New Roman" w:cs="Times New Roman"/>
          <w:sz w:val="24"/>
          <w:szCs w:val="24"/>
        </w:rPr>
        <w:t>о</w:t>
      </w:r>
      <w:r w:rsidRPr="0095173C">
        <w:rPr>
          <w:rFonts w:ascii="Times New Roman" w:hAnsi="Times New Roman" w:cs="Times New Roman"/>
          <w:sz w:val="24"/>
          <w:szCs w:val="24"/>
        </w:rPr>
        <w:t>мочий</w:t>
      </w:r>
      <w:r w:rsidR="00300DDE" w:rsidRPr="0095173C">
        <w:rPr>
          <w:rFonts w:ascii="Times New Roman" w:hAnsi="Times New Roman" w:cs="Times New Roman"/>
          <w:sz w:val="24"/>
          <w:szCs w:val="24"/>
        </w:rPr>
        <w:t xml:space="preserve"> 80</w:t>
      </w:r>
      <w:r w:rsidRPr="0095173C">
        <w:rPr>
          <w:rFonts w:ascii="Times New Roman" w:hAnsi="Times New Roman" w:cs="Times New Roman"/>
          <w:sz w:val="24"/>
          <w:szCs w:val="24"/>
        </w:rPr>
        <w:t>,0 тыс. рублей.</w:t>
      </w:r>
    </w:p>
    <w:p w:rsidR="00300DDE" w:rsidRPr="0095173C" w:rsidRDefault="00300DD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Подраздел 0804 «Другие вопросы в области культуры, кинематографии» межбю</w:t>
      </w:r>
      <w:r w:rsidRPr="0095173C">
        <w:rPr>
          <w:rFonts w:ascii="Times New Roman" w:hAnsi="Times New Roman" w:cs="Times New Roman"/>
          <w:sz w:val="24"/>
          <w:szCs w:val="24"/>
        </w:rPr>
        <w:t>д</w:t>
      </w:r>
      <w:r w:rsidRPr="0095173C">
        <w:rPr>
          <w:rFonts w:ascii="Times New Roman" w:hAnsi="Times New Roman" w:cs="Times New Roman"/>
          <w:sz w:val="24"/>
          <w:szCs w:val="24"/>
        </w:rPr>
        <w:t>жетные трансферты бюджету муниципального образования «Себежский район» на осущ</w:t>
      </w:r>
      <w:r w:rsidRPr="0095173C">
        <w:rPr>
          <w:rFonts w:ascii="Times New Roman" w:hAnsi="Times New Roman" w:cs="Times New Roman"/>
          <w:sz w:val="24"/>
          <w:szCs w:val="24"/>
        </w:rPr>
        <w:t>е</w:t>
      </w:r>
      <w:r w:rsidRPr="0095173C">
        <w:rPr>
          <w:rFonts w:ascii="Times New Roman" w:hAnsi="Times New Roman" w:cs="Times New Roman"/>
          <w:sz w:val="24"/>
          <w:szCs w:val="24"/>
        </w:rPr>
        <w:t>ствление переданных полномочий 120,0 тыс. рублей.</w:t>
      </w:r>
    </w:p>
    <w:p w:rsidR="00CF59E9" w:rsidRPr="0095173C" w:rsidRDefault="00CF59E9" w:rsidP="0095173C">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b/>
          <w:i/>
          <w:sz w:val="24"/>
          <w:szCs w:val="24"/>
        </w:rPr>
        <w:t>Источники финансирования дефицита бюджета</w:t>
      </w:r>
    </w:p>
    <w:p w:rsidR="00CF59E9" w:rsidRPr="0095173C" w:rsidRDefault="00CF59E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Основными источниками внутреннего финансирования дефицита бюджета мун</w:t>
      </w:r>
      <w:r w:rsidRPr="0095173C">
        <w:rPr>
          <w:rFonts w:ascii="Times New Roman" w:hAnsi="Times New Roman" w:cs="Times New Roman"/>
          <w:sz w:val="24"/>
          <w:szCs w:val="24"/>
        </w:rPr>
        <w:t>и</w:t>
      </w:r>
      <w:r w:rsidRPr="0095173C">
        <w:rPr>
          <w:rFonts w:ascii="Times New Roman" w:hAnsi="Times New Roman" w:cs="Times New Roman"/>
          <w:sz w:val="24"/>
          <w:szCs w:val="24"/>
        </w:rPr>
        <w:t xml:space="preserve">ципального образования «Идрица» на 2018 год </w:t>
      </w:r>
      <w:r w:rsidR="000F5883" w:rsidRPr="0095173C">
        <w:rPr>
          <w:rFonts w:ascii="Times New Roman" w:hAnsi="Times New Roman" w:cs="Times New Roman"/>
          <w:sz w:val="24"/>
          <w:szCs w:val="24"/>
        </w:rPr>
        <w:t>являются: изменение источников средств на счетах по учету средств бюджета. Уменьшение остатков средств бюджетов по коду 01050000000000600 на сумму 9448,7 тыс. рублей. Увеличение остатков средств  бюджетов по коду 01050000000000500 на сумму 9448,7 тыс. рублей.</w:t>
      </w:r>
    </w:p>
    <w:p w:rsidR="000F5883" w:rsidRPr="0095173C" w:rsidRDefault="00414C1A"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lastRenderedPageBreak/>
        <w:t>Погашение кредиторской задолженности, образовавшейся по состоянию на начало финансового года. Получатели бюджетных средств осуществляют в пределах расходов, предусмотренных в ведомственной структуре расходов бюджета поселения за соответс</w:t>
      </w:r>
      <w:r w:rsidRPr="0095173C">
        <w:rPr>
          <w:rFonts w:ascii="Times New Roman" w:hAnsi="Times New Roman" w:cs="Times New Roman"/>
          <w:sz w:val="24"/>
          <w:szCs w:val="24"/>
        </w:rPr>
        <w:t>т</w:t>
      </w:r>
      <w:r w:rsidRPr="0095173C">
        <w:rPr>
          <w:rFonts w:ascii="Times New Roman" w:hAnsi="Times New Roman" w:cs="Times New Roman"/>
          <w:sz w:val="24"/>
          <w:szCs w:val="24"/>
        </w:rPr>
        <w:t>вующий финансовый год.</w:t>
      </w:r>
    </w:p>
    <w:p w:rsidR="00414C1A" w:rsidRPr="0095173C" w:rsidRDefault="00414C1A"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Бюджетные ассигнования на осуществление бюджетных инвестиций в объекты к</w:t>
      </w:r>
      <w:r w:rsidRPr="0095173C">
        <w:rPr>
          <w:rFonts w:ascii="Times New Roman" w:hAnsi="Times New Roman" w:cs="Times New Roman"/>
          <w:sz w:val="24"/>
          <w:szCs w:val="24"/>
        </w:rPr>
        <w:t>а</w:t>
      </w:r>
      <w:r w:rsidRPr="0095173C">
        <w:rPr>
          <w:rFonts w:ascii="Times New Roman" w:hAnsi="Times New Roman" w:cs="Times New Roman"/>
          <w:sz w:val="24"/>
          <w:szCs w:val="24"/>
        </w:rPr>
        <w:t>питального строительства муниципальной собственности муниципального образования  отражаются в муниципальных программах, сводной бюджетной росписи.</w:t>
      </w:r>
    </w:p>
    <w:p w:rsidR="00741688" w:rsidRDefault="00D67D7A" w:rsidP="00741688">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b/>
          <w:i/>
          <w:sz w:val="24"/>
          <w:szCs w:val="24"/>
        </w:rPr>
        <w:t>Выводы:</w:t>
      </w:r>
    </w:p>
    <w:p w:rsidR="00741688" w:rsidRPr="00741688" w:rsidRDefault="000132AE" w:rsidP="00741688">
      <w:pPr>
        <w:spacing w:after="0" w:line="240" w:lineRule="auto"/>
        <w:ind w:firstLine="709"/>
        <w:jc w:val="both"/>
        <w:rPr>
          <w:rFonts w:ascii="Times New Roman" w:hAnsi="Times New Roman" w:cs="Times New Roman"/>
          <w:b/>
          <w:i/>
          <w:sz w:val="24"/>
          <w:szCs w:val="24"/>
        </w:rPr>
      </w:pPr>
      <w:r w:rsidRPr="0095173C">
        <w:rPr>
          <w:rFonts w:ascii="Times New Roman" w:hAnsi="Times New Roman" w:cs="Times New Roman"/>
          <w:sz w:val="24"/>
          <w:szCs w:val="24"/>
        </w:rPr>
        <w:t>Среднесрочный финансовый план муниципального образования  ежегодно разраб</w:t>
      </w:r>
      <w:r w:rsidRPr="0095173C">
        <w:rPr>
          <w:rFonts w:ascii="Times New Roman" w:hAnsi="Times New Roman" w:cs="Times New Roman"/>
          <w:sz w:val="24"/>
          <w:szCs w:val="24"/>
        </w:rPr>
        <w:t>а</w:t>
      </w:r>
      <w:r w:rsidRPr="0095173C">
        <w:rPr>
          <w:rFonts w:ascii="Times New Roman" w:hAnsi="Times New Roman" w:cs="Times New Roman"/>
          <w:sz w:val="24"/>
          <w:szCs w:val="24"/>
        </w:rPr>
        <w:t>тыва</w:t>
      </w:r>
      <w:r w:rsidR="00741688">
        <w:rPr>
          <w:rFonts w:ascii="Times New Roman" w:hAnsi="Times New Roman" w:cs="Times New Roman"/>
          <w:sz w:val="24"/>
          <w:szCs w:val="24"/>
        </w:rPr>
        <w:t>е</w:t>
      </w:r>
      <w:r w:rsidRPr="0095173C">
        <w:rPr>
          <w:rFonts w:ascii="Times New Roman" w:hAnsi="Times New Roman" w:cs="Times New Roman"/>
          <w:sz w:val="24"/>
          <w:szCs w:val="24"/>
        </w:rPr>
        <w:t>тся по форме и в порядке, которые установлены местной администрацией муниц</w:t>
      </w:r>
      <w:r w:rsidRPr="0095173C">
        <w:rPr>
          <w:rFonts w:ascii="Times New Roman" w:hAnsi="Times New Roman" w:cs="Times New Roman"/>
          <w:sz w:val="24"/>
          <w:szCs w:val="24"/>
        </w:rPr>
        <w:t>и</w:t>
      </w:r>
      <w:r w:rsidRPr="0095173C">
        <w:rPr>
          <w:rFonts w:ascii="Times New Roman" w:hAnsi="Times New Roman" w:cs="Times New Roman"/>
          <w:sz w:val="24"/>
          <w:szCs w:val="24"/>
        </w:rPr>
        <w:t>пального образования, с соблюдением положений  Бюджетного Кодекса Российской Ф</w:t>
      </w:r>
      <w:r w:rsidRPr="0095173C">
        <w:rPr>
          <w:rFonts w:ascii="Times New Roman" w:hAnsi="Times New Roman" w:cs="Times New Roman"/>
          <w:sz w:val="24"/>
          <w:szCs w:val="24"/>
        </w:rPr>
        <w:t>е</w:t>
      </w:r>
      <w:r w:rsidRPr="0095173C">
        <w:rPr>
          <w:rFonts w:ascii="Times New Roman" w:hAnsi="Times New Roman" w:cs="Times New Roman"/>
          <w:sz w:val="24"/>
          <w:szCs w:val="24"/>
        </w:rPr>
        <w:t xml:space="preserve">дерации. </w:t>
      </w:r>
      <w:r w:rsidR="00741688" w:rsidRPr="0095173C">
        <w:rPr>
          <w:rFonts w:ascii="Times New Roman" w:hAnsi="Times New Roman" w:cs="Times New Roman"/>
          <w:sz w:val="24"/>
          <w:szCs w:val="24"/>
        </w:rPr>
        <w:t>Основание</w:t>
      </w:r>
      <w:r w:rsidR="00741688">
        <w:rPr>
          <w:rFonts w:ascii="Times New Roman" w:hAnsi="Times New Roman" w:cs="Times New Roman"/>
          <w:sz w:val="24"/>
          <w:szCs w:val="24"/>
        </w:rPr>
        <w:t>: Распоряжение Администрации городского поселения «Идрица» от 1</w:t>
      </w:r>
      <w:r w:rsidR="007F5D46">
        <w:rPr>
          <w:rFonts w:ascii="Times New Roman" w:hAnsi="Times New Roman" w:cs="Times New Roman"/>
          <w:sz w:val="24"/>
          <w:szCs w:val="24"/>
        </w:rPr>
        <w:t>5</w:t>
      </w:r>
      <w:r w:rsidR="00741688">
        <w:rPr>
          <w:rFonts w:ascii="Times New Roman" w:hAnsi="Times New Roman" w:cs="Times New Roman"/>
          <w:sz w:val="24"/>
          <w:szCs w:val="24"/>
        </w:rPr>
        <w:t>.08.2016 № 64 «Об утверждении порядка формирования среднесрочного финансового плана муниципального образования  городское поселение «Идрица»».</w:t>
      </w:r>
    </w:p>
    <w:p w:rsidR="0094217F" w:rsidRPr="0095173C" w:rsidRDefault="00A372F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Формирование проекта решения Собрания депутатов городского поселения «И</w:t>
      </w:r>
      <w:r w:rsidRPr="0095173C">
        <w:rPr>
          <w:rFonts w:ascii="Times New Roman" w:hAnsi="Times New Roman" w:cs="Times New Roman"/>
          <w:sz w:val="24"/>
          <w:szCs w:val="24"/>
        </w:rPr>
        <w:t>д</w:t>
      </w:r>
      <w:r w:rsidRPr="0095173C">
        <w:rPr>
          <w:rFonts w:ascii="Times New Roman" w:hAnsi="Times New Roman" w:cs="Times New Roman"/>
          <w:sz w:val="24"/>
          <w:szCs w:val="24"/>
        </w:rPr>
        <w:t>рица» « О бюджете муниципального образования «Идрица» на 2018 год осуществлялось</w:t>
      </w:r>
      <w:r w:rsidR="0094217F" w:rsidRPr="0095173C">
        <w:rPr>
          <w:rFonts w:ascii="Times New Roman" w:hAnsi="Times New Roman" w:cs="Times New Roman"/>
          <w:sz w:val="24"/>
          <w:szCs w:val="24"/>
        </w:rPr>
        <w:t xml:space="preserve"> </w:t>
      </w:r>
      <w:r w:rsidR="00CE2FC4">
        <w:rPr>
          <w:rFonts w:ascii="Times New Roman" w:hAnsi="Times New Roman" w:cs="Times New Roman"/>
          <w:sz w:val="24"/>
          <w:szCs w:val="24"/>
        </w:rPr>
        <w:t xml:space="preserve">в соответствии со </w:t>
      </w:r>
      <w:r w:rsidR="0094217F" w:rsidRPr="0095173C">
        <w:rPr>
          <w:rFonts w:ascii="Times New Roman" w:hAnsi="Times New Roman" w:cs="Times New Roman"/>
          <w:sz w:val="24"/>
          <w:szCs w:val="24"/>
        </w:rPr>
        <w:t>стать</w:t>
      </w:r>
      <w:r w:rsidR="00CE2FC4">
        <w:rPr>
          <w:rFonts w:ascii="Times New Roman" w:hAnsi="Times New Roman" w:cs="Times New Roman"/>
          <w:sz w:val="24"/>
          <w:szCs w:val="24"/>
        </w:rPr>
        <w:t>ей</w:t>
      </w:r>
      <w:r w:rsidR="0094217F" w:rsidRPr="0095173C">
        <w:rPr>
          <w:rFonts w:ascii="Times New Roman" w:hAnsi="Times New Roman" w:cs="Times New Roman"/>
          <w:sz w:val="24"/>
          <w:szCs w:val="24"/>
        </w:rPr>
        <w:t xml:space="preserve"> 174  </w:t>
      </w:r>
      <w:r w:rsidRPr="0095173C">
        <w:rPr>
          <w:rFonts w:ascii="Times New Roman" w:hAnsi="Times New Roman" w:cs="Times New Roman"/>
          <w:sz w:val="24"/>
          <w:szCs w:val="24"/>
        </w:rPr>
        <w:t>Бюд</w:t>
      </w:r>
      <w:r w:rsidR="000132AE" w:rsidRPr="0095173C">
        <w:rPr>
          <w:rFonts w:ascii="Times New Roman" w:hAnsi="Times New Roman" w:cs="Times New Roman"/>
          <w:sz w:val="24"/>
          <w:szCs w:val="24"/>
        </w:rPr>
        <w:t>жетного кодекса.</w:t>
      </w:r>
    </w:p>
    <w:p w:rsidR="00A372FE" w:rsidRPr="0095173C" w:rsidRDefault="00A372F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ab/>
        <w:t>Проект решения о бюджете составлен с учетом изменений, вносимых в Ук</w:t>
      </w:r>
      <w:r w:rsidRPr="0095173C">
        <w:rPr>
          <w:rFonts w:ascii="Times New Roman" w:hAnsi="Times New Roman" w:cs="Times New Roman"/>
          <w:sz w:val="24"/>
          <w:szCs w:val="24"/>
        </w:rPr>
        <w:t>а</w:t>
      </w:r>
      <w:r w:rsidRPr="0095173C">
        <w:rPr>
          <w:rFonts w:ascii="Times New Roman" w:hAnsi="Times New Roman" w:cs="Times New Roman"/>
          <w:sz w:val="24"/>
          <w:szCs w:val="24"/>
        </w:rPr>
        <w:t>зания о порядке применения бюджетной классификации Российской Федерации, утве</w:t>
      </w:r>
      <w:r w:rsidRPr="0095173C">
        <w:rPr>
          <w:rFonts w:ascii="Times New Roman" w:hAnsi="Times New Roman" w:cs="Times New Roman"/>
          <w:sz w:val="24"/>
          <w:szCs w:val="24"/>
        </w:rPr>
        <w:t>р</w:t>
      </w:r>
      <w:r w:rsidRPr="0095173C">
        <w:rPr>
          <w:rFonts w:ascii="Times New Roman" w:hAnsi="Times New Roman" w:cs="Times New Roman"/>
          <w:sz w:val="24"/>
          <w:szCs w:val="24"/>
        </w:rPr>
        <w:t>жденные приказом Министерства финансов Российской Федерации от 01.07.2013 № 65-н, в части изменения (дополнения) кодов видов доходов бюджетов, применяемых с 1 января 2017 года;</w:t>
      </w:r>
    </w:p>
    <w:p w:rsidR="00D40485" w:rsidRPr="0095173C" w:rsidRDefault="00D40485"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Бюджет муниципального образования «Идрица» имеет устойчивый рост собстве</w:t>
      </w:r>
      <w:r w:rsidRPr="0095173C">
        <w:rPr>
          <w:rFonts w:ascii="Times New Roman" w:hAnsi="Times New Roman" w:cs="Times New Roman"/>
          <w:sz w:val="24"/>
          <w:szCs w:val="24"/>
        </w:rPr>
        <w:t>н</w:t>
      </w:r>
      <w:r w:rsidRPr="0095173C">
        <w:rPr>
          <w:rFonts w:ascii="Times New Roman" w:hAnsi="Times New Roman" w:cs="Times New Roman"/>
          <w:sz w:val="24"/>
          <w:szCs w:val="24"/>
        </w:rPr>
        <w:t>ных доходов, основанных на получении налоговых и неналоговых доходов.</w:t>
      </w:r>
    </w:p>
    <w:p w:rsidR="00A372FE" w:rsidRPr="0095173C" w:rsidRDefault="00A372FE"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Доходы муниципального образования «Идрица»  на 2018 год прогнозируются в сумме 9448,7 тыс. рублей.</w:t>
      </w:r>
      <w:r w:rsidR="00C8321C" w:rsidRPr="0095173C">
        <w:rPr>
          <w:rFonts w:ascii="Times New Roman" w:hAnsi="Times New Roman" w:cs="Times New Roman"/>
          <w:sz w:val="24"/>
          <w:szCs w:val="24"/>
        </w:rPr>
        <w:t xml:space="preserve"> К уровню 2017 года рост составляет 5,2% или 464,4 тыс. ру</w:t>
      </w:r>
      <w:r w:rsidR="00C8321C" w:rsidRPr="0095173C">
        <w:rPr>
          <w:rFonts w:ascii="Times New Roman" w:hAnsi="Times New Roman" w:cs="Times New Roman"/>
          <w:sz w:val="24"/>
          <w:szCs w:val="24"/>
        </w:rPr>
        <w:t>б</w:t>
      </w:r>
      <w:r w:rsidR="00C8321C" w:rsidRPr="0095173C">
        <w:rPr>
          <w:rFonts w:ascii="Times New Roman" w:hAnsi="Times New Roman" w:cs="Times New Roman"/>
          <w:sz w:val="24"/>
          <w:szCs w:val="24"/>
        </w:rPr>
        <w:t>лей.</w:t>
      </w:r>
    </w:p>
    <w:p w:rsidR="00501A2C" w:rsidRPr="0095173C" w:rsidRDefault="00501A2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Общий объем расходов бюджета муниципального образования на 2018 год сост</w:t>
      </w:r>
      <w:r w:rsidRPr="0095173C">
        <w:rPr>
          <w:rFonts w:ascii="Times New Roman" w:hAnsi="Times New Roman" w:cs="Times New Roman"/>
          <w:sz w:val="24"/>
          <w:szCs w:val="24"/>
        </w:rPr>
        <w:t>а</w:t>
      </w:r>
      <w:r w:rsidRPr="0095173C">
        <w:rPr>
          <w:rFonts w:ascii="Times New Roman" w:hAnsi="Times New Roman" w:cs="Times New Roman"/>
          <w:sz w:val="24"/>
          <w:szCs w:val="24"/>
        </w:rPr>
        <w:t>вит 9448.7 тыс. рублей. К уровню 2017 года  рост составит 333,3 тыс. рублей</w:t>
      </w:r>
      <w:r w:rsidR="002C2A4C" w:rsidRPr="0095173C">
        <w:rPr>
          <w:rFonts w:ascii="Times New Roman" w:hAnsi="Times New Roman" w:cs="Times New Roman"/>
          <w:sz w:val="24"/>
          <w:szCs w:val="24"/>
        </w:rPr>
        <w:t>.</w:t>
      </w:r>
    </w:p>
    <w:p w:rsidR="002C2A4C" w:rsidRPr="0095173C" w:rsidRDefault="002C2A4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Социально направленные расходы в 2018 году составят сумму 2243,2 тыс. рублей, что на 4,9% (115,4 тыс. рублей) меньше прогнозируемого уровня 2017 года.</w:t>
      </w:r>
    </w:p>
    <w:p w:rsidR="002F2199" w:rsidRPr="0095173C" w:rsidRDefault="002F219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Прогнозируется бездефицитный бюджет.</w:t>
      </w:r>
    </w:p>
    <w:p w:rsidR="002F2199" w:rsidRPr="0095173C" w:rsidRDefault="002F2199"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Верхний предел муниципального внутреннего долга городского поселения «Идр</w:t>
      </w:r>
      <w:r w:rsidRPr="0095173C">
        <w:rPr>
          <w:rFonts w:ascii="Times New Roman" w:hAnsi="Times New Roman" w:cs="Times New Roman"/>
          <w:sz w:val="24"/>
          <w:szCs w:val="24"/>
        </w:rPr>
        <w:t>и</w:t>
      </w:r>
      <w:r w:rsidRPr="0095173C">
        <w:rPr>
          <w:rFonts w:ascii="Times New Roman" w:hAnsi="Times New Roman" w:cs="Times New Roman"/>
          <w:sz w:val="24"/>
          <w:szCs w:val="24"/>
        </w:rPr>
        <w:t>ца» на 01 января 2019 года прогнозируется в сумме 1000 .0 тыс. рублей, что не противор</w:t>
      </w:r>
      <w:r w:rsidRPr="0095173C">
        <w:rPr>
          <w:rFonts w:ascii="Times New Roman" w:hAnsi="Times New Roman" w:cs="Times New Roman"/>
          <w:sz w:val="24"/>
          <w:szCs w:val="24"/>
        </w:rPr>
        <w:t>е</w:t>
      </w:r>
      <w:r w:rsidRPr="0095173C">
        <w:rPr>
          <w:rFonts w:ascii="Times New Roman" w:hAnsi="Times New Roman" w:cs="Times New Roman"/>
          <w:sz w:val="24"/>
          <w:szCs w:val="24"/>
        </w:rPr>
        <w:t>чит условиям БК РФ.</w:t>
      </w:r>
    </w:p>
    <w:p w:rsidR="00AB7AFA" w:rsidRPr="0095173C" w:rsidRDefault="00AB7AFA"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Принцип самостоятельности бюджета, предусмотренный ст.31 бюджетного кодекса РФ,</w:t>
      </w:r>
      <w:bookmarkStart w:id="0" w:name="_GoBack"/>
      <w:bookmarkEnd w:id="0"/>
      <w:r w:rsidRPr="0095173C">
        <w:rPr>
          <w:rFonts w:ascii="Times New Roman" w:hAnsi="Times New Roman" w:cs="Times New Roman"/>
          <w:sz w:val="24"/>
          <w:szCs w:val="24"/>
        </w:rPr>
        <w:t xml:space="preserve"> соблюден</w:t>
      </w:r>
      <w:r w:rsidR="00D5487F">
        <w:rPr>
          <w:rFonts w:ascii="Times New Roman" w:hAnsi="Times New Roman" w:cs="Times New Roman"/>
          <w:sz w:val="24"/>
          <w:szCs w:val="24"/>
        </w:rPr>
        <w:t>.</w:t>
      </w:r>
    </w:p>
    <w:p w:rsidR="002C2A4C" w:rsidRPr="0095173C" w:rsidRDefault="002C2A4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На основании вышеизложенного Контрольно-счетный орган муниципального обр</w:t>
      </w:r>
      <w:r w:rsidRPr="0095173C">
        <w:rPr>
          <w:rFonts w:ascii="Times New Roman" w:hAnsi="Times New Roman" w:cs="Times New Roman"/>
          <w:sz w:val="24"/>
          <w:szCs w:val="24"/>
        </w:rPr>
        <w:t>а</w:t>
      </w:r>
      <w:r w:rsidRPr="0095173C">
        <w:rPr>
          <w:rFonts w:ascii="Times New Roman" w:hAnsi="Times New Roman" w:cs="Times New Roman"/>
          <w:sz w:val="24"/>
          <w:szCs w:val="24"/>
        </w:rPr>
        <w:t>зования «Себежский район» предлагает Собранию депутатов городского поселения «И</w:t>
      </w:r>
      <w:r w:rsidRPr="0095173C">
        <w:rPr>
          <w:rFonts w:ascii="Times New Roman" w:hAnsi="Times New Roman" w:cs="Times New Roman"/>
          <w:sz w:val="24"/>
          <w:szCs w:val="24"/>
        </w:rPr>
        <w:t>д</w:t>
      </w:r>
      <w:r w:rsidRPr="0095173C">
        <w:rPr>
          <w:rFonts w:ascii="Times New Roman" w:hAnsi="Times New Roman" w:cs="Times New Roman"/>
          <w:sz w:val="24"/>
          <w:szCs w:val="24"/>
        </w:rPr>
        <w:t>рица» принять проект решения к рассмотрению</w:t>
      </w:r>
      <w:r w:rsidR="000132AE" w:rsidRPr="0095173C">
        <w:rPr>
          <w:rFonts w:ascii="Times New Roman" w:hAnsi="Times New Roman" w:cs="Times New Roman"/>
          <w:sz w:val="24"/>
          <w:szCs w:val="24"/>
        </w:rPr>
        <w:t xml:space="preserve"> с учетом замечаний и рекомендаций Ко</w:t>
      </w:r>
      <w:r w:rsidR="000132AE" w:rsidRPr="0095173C">
        <w:rPr>
          <w:rFonts w:ascii="Times New Roman" w:hAnsi="Times New Roman" w:cs="Times New Roman"/>
          <w:sz w:val="24"/>
          <w:szCs w:val="24"/>
        </w:rPr>
        <w:t>н</w:t>
      </w:r>
      <w:r w:rsidR="000132AE" w:rsidRPr="0095173C">
        <w:rPr>
          <w:rFonts w:ascii="Times New Roman" w:hAnsi="Times New Roman" w:cs="Times New Roman"/>
          <w:sz w:val="24"/>
          <w:szCs w:val="24"/>
        </w:rPr>
        <w:t>трольно-счетного органа муниципального образования «Себежский район»</w:t>
      </w:r>
      <w:r w:rsidRPr="0095173C">
        <w:rPr>
          <w:rFonts w:ascii="Times New Roman" w:hAnsi="Times New Roman" w:cs="Times New Roman"/>
          <w:sz w:val="24"/>
          <w:szCs w:val="24"/>
        </w:rPr>
        <w:t>.</w:t>
      </w:r>
    </w:p>
    <w:p w:rsidR="002C2A4C" w:rsidRPr="0095173C" w:rsidRDefault="002C2A4C" w:rsidP="0095173C">
      <w:pPr>
        <w:spacing w:after="0" w:line="240" w:lineRule="auto"/>
        <w:ind w:firstLine="709"/>
        <w:jc w:val="both"/>
        <w:rPr>
          <w:rFonts w:ascii="Times New Roman" w:hAnsi="Times New Roman" w:cs="Times New Roman"/>
          <w:sz w:val="24"/>
          <w:szCs w:val="24"/>
        </w:rPr>
      </w:pPr>
    </w:p>
    <w:p w:rsidR="002C2A4C" w:rsidRPr="0095173C" w:rsidRDefault="002C2A4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Председатель</w:t>
      </w:r>
    </w:p>
    <w:p w:rsidR="002C2A4C" w:rsidRPr="0095173C" w:rsidRDefault="002C2A4C"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КСО МО «Себежский район»                                                  Т.Е. Крыкова</w:t>
      </w:r>
    </w:p>
    <w:p w:rsidR="003F53B8" w:rsidRPr="0095173C" w:rsidRDefault="003F53B8" w:rsidP="0095173C">
      <w:pPr>
        <w:spacing w:after="0" w:line="240" w:lineRule="auto"/>
        <w:ind w:firstLine="709"/>
        <w:jc w:val="both"/>
        <w:rPr>
          <w:rFonts w:ascii="Times New Roman" w:hAnsi="Times New Roman" w:cs="Times New Roman"/>
          <w:sz w:val="24"/>
          <w:szCs w:val="24"/>
        </w:rPr>
      </w:pPr>
      <w:r w:rsidRPr="0095173C">
        <w:rPr>
          <w:rFonts w:ascii="Times New Roman" w:hAnsi="Times New Roman" w:cs="Times New Roman"/>
          <w:sz w:val="24"/>
          <w:szCs w:val="24"/>
        </w:rPr>
        <w:t xml:space="preserve"> </w:t>
      </w:r>
    </w:p>
    <w:p w:rsidR="002721C5" w:rsidRPr="0095173C" w:rsidRDefault="002721C5" w:rsidP="0095173C">
      <w:pPr>
        <w:spacing w:after="0" w:line="240" w:lineRule="auto"/>
        <w:ind w:firstLine="709"/>
        <w:jc w:val="both"/>
        <w:rPr>
          <w:rFonts w:ascii="Times New Roman" w:hAnsi="Times New Roman" w:cs="Times New Roman"/>
          <w:sz w:val="24"/>
          <w:szCs w:val="24"/>
        </w:rPr>
      </w:pPr>
    </w:p>
    <w:p w:rsidR="002721C5" w:rsidRPr="0095173C" w:rsidRDefault="002721C5" w:rsidP="0095173C">
      <w:pPr>
        <w:spacing w:after="0" w:line="240" w:lineRule="auto"/>
        <w:ind w:firstLine="709"/>
        <w:jc w:val="both"/>
        <w:rPr>
          <w:rFonts w:ascii="Times New Roman" w:hAnsi="Times New Roman" w:cs="Times New Roman"/>
          <w:sz w:val="24"/>
          <w:szCs w:val="24"/>
        </w:rPr>
      </w:pPr>
    </w:p>
    <w:sectPr w:rsidR="002721C5" w:rsidRPr="0095173C" w:rsidSect="00C5071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CFB" w:rsidRDefault="00F65CFB" w:rsidP="002721C5">
      <w:pPr>
        <w:spacing w:after="0" w:line="240" w:lineRule="auto"/>
      </w:pPr>
      <w:r>
        <w:separator/>
      </w:r>
    </w:p>
  </w:endnote>
  <w:endnote w:type="continuationSeparator" w:id="0">
    <w:p w:rsidR="00F65CFB" w:rsidRDefault="00F65CFB" w:rsidP="00272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578530"/>
      <w:docPartObj>
        <w:docPartGallery w:val="Page Numbers (Bottom of Page)"/>
        <w:docPartUnique/>
      </w:docPartObj>
    </w:sdtPr>
    <w:sdtContent>
      <w:p w:rsidR="00850789" w:rsidRDefault="004962D6">
        <w:pPr>
          <w:pStyle w:val="a6"/>
          <w:jc w:val="right"/>
        </w:pPr>
        <w:fldSimple w:instr="PAGE   \* MERGEFORMAT">
          <w:r w:rsidR="00D5487F">
            <w:rPr>
              <w:noProof/>
            </w:rPr>
            <w:t>7</w:t>
          </w:r>
        </w:fldSimple>
      </w:p>
    </w:sdtContent>
  </w:sdt>
  <w:p w:rsidR="00850789" w:rsidRDefault="008507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CFB" w:rsidRDefault="00F65CFB" w:rsidP="002721C5">
      <w:pPr>
        <w:spacing w:after="0" w:line="240" w:lineRule="auto"/>
      </w:pPr>
      <w:r>
        <w:separator/>
      </w:r>
    </w:p>
  </w:footnote>
  <w:footnote w:type="continuationSeparator" w:id="0">
    <w:p w:rsidR="00F65CFB" w:rsidRDefault="00F65CFB" w:rsidP="002721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1"/>
    <w:footnote w:id="0"/>
  </w:footnotePr>
  <w:endnotePr>
    <w:endnote w:id="-1"/>
    <w:endnote w:id="0"/>
  </w:endnotePr>
  <w:compat/>
  <w:rsids>
    <w:rsidRoot w:val="00CA4BD0"/>
    <w:rsid w:val="000067BB"/>
    <w:rsid w:val="000132AE"/>
    <w:rsid w:val="00054D24"/>
    <w:rsid w:val="000A33C1"/>
    <w:rsid w:val="000B174A"/>
    <w:rsid w:val="000D0649"/>
    <w:rsid w:val="000F5883"/>
    <w:rsid w:val="000F65CE"/>
    <w:rsid w:val="00140AED"/>
    <w:rsid w:val="00191156"/>
    <w:rsid w:val="001B65D8"/>
    <w:rsid w:val="001E7613"/>
    <w:rsid w:val="002721C5"/>
    <w:rsid w:val="00293839"/>
    <w:rsid w:val="00296077"/>
    <w:rsid w:val="002A1C62"/>
    <w:rsid w:val="002B7CA2"/>
    <w:rsid w:val="002C2A4C"/>
    <w:rsid w:val="002C4D6A"/>
    <w:rsid w:val="002F2199"/>
    <w:rsid w:val="00300DDE"/>
    <w:rsid w:val="00334BFE"/>
    <w:rsid w:val="00341C00"/>
    <w:rsid w:val="003B6AA7"/>
    <w:rsid w:val="003D1529"/>
    <w:rsid w:val="003E05BD"/>
    <w:rsid w:val="003F53B8"/>
    <w:rsid w:val="003F54ED"/>
    <w:rsid w:val="00411A7D"/>
    <w:rsid w:val="00414C1A"/>
    <w:rsid w:val="00437A88"/>
    <w:rsid w:val="00486CB8"/>
    <w:rsid w:val="00496214"/>
    <w:rsid w:val="004962D6"/>
    <w:rsid w:val="004F5D17"/>
    <w:rsid w:val="00501A2C"/>
    <w:rsid w:val="00511B15"/>
    <w:rsid w:val="00563B7B"/>
    <w:rsid w:val="00606B72"/>
    <w:rsid w:val="00697611"/>
    <w:rsid w:val="007168B8"/>
    <w:rsid w:val="00740772"/>
    <w:rsid w:val="00741688"/>
    <w:rsid w:val="007D7F8C"/>
    <w:rsid w:val="007F4030"/>
    <w:rsid w:val="007F5D46"/>
    <w:rsid w:val="00850789"/>
    <w:rsid w:val="008643C6"/>
    <w:rsid w:val="008B5531"/>
    <w:rsid w:val="008D3B34"/>
    <w:rsid w:val="008F6329"/>
    <w:rsid w:val="0094217F"/>
    <w:rsid w:val="0095173C"/>
    <w:rsid w:val="00995020"/>
    <w:rsid w:val="00A27348"/>
    <w:rsid w:val="00A372FE"/>
    <w:rsid w:val="00AB7AFA"/>
    <w:rsid w:val="00AD1E41"/>
    <w:rsid w:val="00B01A19"/>
    <w:rsid w:val="00B64065"/>
    <w:rsid w:val="00B728DA"/>
    <w:rsid w:val="00B86BB0"/>
    <w:rsid w:val="00B87C7A"/>
    <w:rsid w:val="00BA6646"/>
    <w:rsid w:val="00BC0C32"/>
    <w:rsid w:val="00C034E4"/>
    <w:rsid w:val="00C24250"/>
    <w:rsid w:val="00C50719"/>
    <w:rsid w:val="00C57535"/>
    <w:rsid w:val="00C61664"/>
    <w:rsid w:val="00C67917"/>
    <w:rsid w:val="00C8321C"/>
    <w:rsid w:val="00CA4BD0"/>
    <w:rsid w:val="00CE2FC4"/>
    <w:rsid w:val="00CF26AF"/>
    <w:rsid w:val="00CF59E9"/>
    <w:rsid w:val="00D06394"/>
    <w:rsid w:val="00D10522"/>
    <w:rsid w:val="00D40485"/>
    <w:rsid w:val="00D431A9"/>
    <w:rsid w:val="00D4651E"/>
    <w:rsid w:val="00D5487F"/>
    <w:rsid w:val="00D67D7A"/>
    <w:rsid w:val="00D7643E"/>
    <w:rsid w:val="00DA381F"/>
    <w:rsid w:val="00DB0674"/>
    <w:rsid w:val="00DC677C"/>
    <w:rsid w:val="00DD4E77"/>
    <w:rsid w:val="00DD55B8"/>
    <w:rsid w:val="00DF2040"/>
    <w:rsid w:val="00E36849"/>
    <w:rsid w:val="00E54A49"/>
    <w:rsid w:val="00E55079"/>
    <w:rsid w:val="00E550A9"/>
    <w:rsid w:val="00E72589"/>
    <w:rsid w:val="00E84AAE"/>
    <w:rsid w:val="00E90413"/>
    <w:rsid w:val="00EF2914"/>
    <w:rsid w:val="00F06249"/>
    <w:rsid w:val="00F16962"/>
    <w:rsid w:val="00F5541E"/>
    <w:rsid w:val="00F65CFB"/>
    <w:rsid w:val="00F729E9"/>
    <w:rsid w:val="00FF0640"/>
    <w:rsid w:val="00FF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1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1C5"/>
  </w:style>
  <w:style w:type="paragraph" w:styleId="a6">
    <w:name w:val="footer"/>
    <w:basedOn w:val="a"/>
    <w:link w:val="a7"/>
    <w:uiPriority w:val="99"/>
    <w:unhideWhenUsed/>
    <w:rsid w:val="002721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1C5"/>
  </w:style>
  <w:style w:type="paragraph" w:styleId="a8">
    <w:name w:val="Balloon Text"/>
    <w:basedOn w:val="a"/>
    <w:link w:val="a9"/>
    <w:uiPriority w:val="99"/>
    <w:semiHidden/>
    <w:unhideWhenUsed/>
    <w:rsid w:val="00A372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1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21C5"/>
  </w:style>
  <w:style w:type="paragraph" w:styleId="a6">
    <w:name w:val="footer"/>
    <w:basedOn w:val="a"/>
    <w:link w:val="a7"/>
    <w:uiPriority w:val="99"/>
    <w:unhideWhenUsed/>
    <w:rsid w:val="002721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1C5"/>
  </w:style>
  <w:style w:type="paragraph" w:styleId="a8">
    <w:name w:val="Balloon Text"/>
    <w:basedOn w:val="a"/>
    <w:link w:val="a9"/>
    <w:uiPriority w:val="99"/>
    <w:semiHidden/>
    <w:unhideWhenUsed/>
    <w:rsid w:val="00A372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2708-81B7-4481-A226-5A96BA5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Егоровна</dc:creator>
  <cp:lastModifiedBy>User</cp:lastModifiedBy>
  <cp:revision>13</cp:revision>
  <cp:lastPrinted>2018-01-09T12:44:00Z</cp:lastPrinted>
  <dcterms:created xsi:type="dcterms:W3CDTF">2018-01-11T09:47:00Z</dcterms:created>
  <dcterms:modified xsi:type="dcterms:W3CDTF">2018-01-11T13:27:00Z</dcterms:modified>
</cp:coreProperties>
</file>